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35"/>
        </w:tabs>
        <w:ind w:left="4248" w:firstLine="431"/>
        <w:jc w:val="righ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Приложение №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1 к договору</w:t>
      </w:r>
      <w:r>
        <w:rPr>
          <w:rFonts w:hint="default" w:ascii="Times New Roman" w:hAnsi="Times New Roman" w:cs="Times New Roman"/>
          <w:sz w:val="22"/>
          <w:szCs w:val="22"/>
        </w:rPr>
        <w:br w:type="textWrapping"/>
      </w:r>
      <w:r>
        <w:rPr>
          <w:rFonts w:hint="default" w:ascii="Times New Roman" w:hAnsi="Times New Roman" w:cs="Times New Roman"/>
          <w:sz w:val="22"/>
          <w:szCs w:val="22"/>
        </w:rPr>
        <w:t xml:space="preserve"> от «___» ________20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22 </w:t>
      </w:r>
      <w:r>
        <w:rPr>
          <w:rFonts w:hint="default" w:ascii="Times New Roman" w:hAnsi="Times New Roman" w:cs="Times New Roman"/>
          <w:sz w:val="22"/>
          <w:szCs w:val="22"/>
        </w:rPr>
        <w:t>г. №_____</w:t>
      </w:r>
    </w:p>
    <w:tbl>
      <w:tblPr>
        <w:tblStyle w:val="52"/>
        <w:tblpPr w:leftFromText="180" w:rightFromText="180" w:vertAnchor="text" w:horzAnchor="page" w:tblpX="1212" w:tblpY="472"/>
        <w:tblOverlap w:val="never"/>
        <w:tblW w:w="102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0"/>
        <w:gridCol w:w="5110"/>
      </w:tblGrid>
      <w:tr>
        <w:tblPrEx>
          <w:tblLayout w:type="fixed"/>
        </w:tblPrEx>
        <w:trPr>
          <w:trHeight w:val="906" w:hRule="atLeast"/>
        </w:trPr>
        <w:tc>
          <w:tcPr>
            <w:tcW w:w="5110" w:type="dxa"/>
          </w:tcPr>
          <w:p>
            <w:pP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СОГЛАСОВАНО: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_________________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110" w:type="dxa"/>
          </w:tcPr>
          <w:p>
            <w:pPr>
              <w:jc w:val="right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           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УТВЕРЖДАЮ: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Главный инженер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ООО «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БВК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>
            <w:pPr>
              <w:jc w:val="right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                    ____________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/О.В. Постоногова/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</w:t>
            </w:r>
          </w:p>
        </w:tc>
      </w:tr>
    </w:tbl>
    <w:p>
      <w:pPr>
        <w:ind w:left="4248" w:firstLine="431"/>
        <w:jc w:val="right"/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236"/>
        <w:spacing w:before="0"/>
        <w:jc w:val="righ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</w:t>
      </w:r>
    </w:p>
    <w:p>
      <w:pPr>
        <w:spacing w:before="120" w:after="120" w:line="360" w:lineRule="auto"/>
        <w:contextualSpacing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ЗАДАНИЕ НА ПРОЕКТИРОВАНИЕ 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«Реконструкция и автоматизация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 КНС-7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. Сеть водоотведения с инвентарным номером 20007»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52"/>
        <w:tblW w:w="9101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"/>
        <w:gridCol w:w="680"/>
        <w:gridCol w:w="2976"/>
        <w:gridCol w:w="765"/>
        <w:gridCol w:w="46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Основание для проектирования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Инвестиционная программа ООО «Березниковская водоснабжающая компания»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Вид строительства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tabs>
                <w:tab w:val="left" w:pos="459"/>
              </w:tabs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Реконструкция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Стадия проектирования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Проектная документация. 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Рабочая документация (включая сметную документацию)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Lines/>
              <w:spacing w:after="120"/>
              <w:ind w:left="39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Исходные данные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КНС-7 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1991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года постройки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Месторасположение предприятия, здания, сооружения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Пермский край, г. Бере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з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ники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, ул. 30 лет Победы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Порядок разработки документации.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6.1. На этапе проектирования выполнить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: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6.1.1 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ab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Оценку технического состояния строительных конструкций и инженерных сетей объект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а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(в соответствии с ГОСТ Р 53778-2010, СП 13-102-2003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6.1.2 </w:t>
            </w:r>
            <w:r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</w:rPr>
              <w:t xml:space="preserve">Проведение инструментального обследования машинного зала и помещение </w:t>
            </w:r>
            <w:r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  <w:lang w:val="ru-RU"/>
              </w:rPr>
              <w:t>решёток</w:t>
            </w:r>
            <w:r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</w:rPr>
              <w:t>:</w:t>
            </w:r>
          </w:p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4" w:right="57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Насосная станция -  одноэтажное сооружение с надземной частью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</w:p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4" w:right="57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Здание оборудовано монорельсовой балкой в машинном зале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грузоподъёмностью 3,2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т для подвеса ручной тали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грузоподъёмностью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т 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 Строительный объём надземной части 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2447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м3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- Площадь здания 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235,5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м2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-   Высота здания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4,3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Здание бескаркасное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 Строительный объём подземной части - 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143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м3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- Площадь подземной части здания        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254,3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м2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-   Высота подземной части здания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5,64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Категория сложности надземной части здания - 2 для одноэтажных зданий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Категория обмерных работ надземной части здания – 2 (бескаркасное одноэтажное)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планы фундаментов и фундаменты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поэтажные планы здания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план полов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поперечные и продольные разрезы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фасады, окна, двери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подкрановые конструкции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крыша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план кровли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Категория сложности работ по обследованию надземной части – 3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фундаменты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стены, перегородки, перемычки, окна, двери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полы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подкрановые конструкции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крыша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план кровли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Категория сложности подземной части здания - 2 для одноэтажных зданий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highlight w:val="none"/>
              </w:rPr>
              <w:t>6.1.3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Провести оценку технического состояния  оборудования, насосных агрегатов находящихся на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КНС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.     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6.1.4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По результатам обследования запроектировать состав и объем работ по устранению выявленных дефектов. Провести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расчёт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нагрузок на строительные конструкции.  В случае увеличения нагрузок на несущие конструкции здания предусмотреть мероприятия по их усилению (в случае необходимости).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highlight w:val="none"/>
              </w:rPr>
              <w:t>6.1.5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 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бязательно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е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использовани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е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отечественного оборудования, а при отсутствие таких возможностей - содружественных стран.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   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Инструментальное обследование выполнять на основание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утверждённых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в ЕТП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«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Прил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ожения №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10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 «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Типовая форма стандарта для ОПР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»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и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«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Прил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ожения №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11. Стандарт требований к КНС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».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Helv" w:cs="Times New Roman"/>
                <w:b/>
                <w:bCs w:val="0"/>
                <w:color w:val="000000"/>
                <w:sz w:val="22"/>
                <w:szCs w:val="22"/>
                <w:lang w:val="ru-RU"/>
              </w:rPr>
              <w:t xml:space="preserve">6.1.6.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В составе 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босновывающих материалов должны быть включены документы подтверждающие отпускные цены на материально технические ресурсы – коммерческие предложения минимум от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 трёх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поставщиков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в части оборудования,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включённого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в 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ПР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от производителей оборудования или официальных представителей производителя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.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    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eastAsia="ru-RU"/>
              </w:rPr>
              <w:t>На основание инструментального обследования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eastAsia="ru-RU"/>
              </w:rPr>
              <w:t xml:space="preserve">в составе ОПР представить основные технические решения, стоимость владения оборудованием, схемы электроснабжения, автоматизации и др. в трёх вариантах, в зависимости от комплектации различными видами оборудования в соответствии с 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ru-RU" w:eastAsia="ru-RU"/>
              </w:rPr>
              <w:t>действующей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  <w:t xml:space="preserve">  редакции Единой технической политики 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eastAsia="ru-RU"/>
              </w:rPr>
              <w:t xml:space="preserve"> ООО «РКС-Холдинг»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  <w:t>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color w:val="auto"/>
                <w:sz w:val="22"/>
                <w:szCs w:val="22"/>
                <w:lang w:val="en-US" w:eastAsia="ru-RU"/>
              </w:rPr>
              <w:t>6.1.7.</w:t>
            </w:r>
            <w:r>
              <w:rPr>
                <w:rFonts w:hint="default" w:ascii="Times New Roman" w:hAnsi="Times New Roman" w:eastAsia="SimSun" w:cs="Times New Roman"/>
                <w:color w:val="auto"/>
                <w:sz w:val="22"/>
                <w:szCs w:val="22"/>
                <w:lang w:val="en-US" w:eastAsia="ru-RU"/>
              </w:rPr>
              <w:t xml:space="preserve"> Запроектировать приборы учёта стоков на напорных коллекторах.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6.2. Разработать Проектную документацию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Проектную документацию разработать в соответствии с действующими законодательными, нормативными правовыми и нормативными документами и Постановлением Правительства РФ от 16.02.2008 г. №87 «О составе разделов проектной документации и требованиях к их содержанию». Реконструкцию предусмотреть в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объёме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замены насосного оборудования и реконструкции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решёток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со всеми сопутствующими работами.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 составе Проектной документации предусмотреть разработку разделов: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«Пояснительная записка»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"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"consultantplus://offline/ref=EDC61F59208BBC6705226B3DD764CCD61917A10E7E7D9EF10AD4059142438FE9C9C9365C97F3B6815D17741F625F5D9BCFA04456B3F2J90EF" \o "consultantplus://offline/ref=EDC61F59208BBC6705226B3DD764CCD61917A10E7E7D9EF10AD4059142438FE9C9C9365C97F3B6815D17741F625F5D9BCFA04456B3F2J90EF"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Схема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планировочной организации земельного участка"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«Архитектурные решения»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"Конструктивные и объемно-планировочные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"consultantplus://offline/ref=12ABD695072E584E100DB8D06D0FEFA0DF77F6DCEF382FC552F584E6B0072840E2E44087ADA3A45088B4027EBC4A9EF8D6CD7C1E747A5D5ExD08F" \o "consultantplus://offline/ref=12ABD695072E584E100DB8D06D0FEFA0DF77F6DCEF382FC552F584E6B0072840E2E44087ADA3A45088B4027EBC4A9EF8D6CD7C1E747A5D5ExD08F"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решения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"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"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"consultantplus://offline/ref=7F622AB0A0893247C1B19821C3D739C2220A501414AE69BF2CDA6B003CDEC684AFCC1F939F998D8590CCE27A9B9B9096DD382E1BCA21072FG4MCF" \o "consultantplus://offline/ref=7F622AB0A0893247C1B19821C3D739C2220A501414AE69BF2CDA6B003CDEC684AFCC1F939F998D8590CCE27A9B9B9096DD382E1BCA21072FG4MCF"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Сведения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решений":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«Система электроснабжения»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«Технологические решения»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«Автоматизация технологических процессов»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«Отопление, вентиляция»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«Проект организации строительства»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"Перечень мероприятий по охране окружающей среды"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"Мероприятия по обеспечению пожарной безопасности"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"Мероприятия по обеспечению соблюдения требований энергетической эффективности и требований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оснащённости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зданий, строений и сооружений приборами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учёта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используемых энергетических ресурсов"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"Смета на строительство объектов капитального строительства"</w:t>
            </w:r>
          </w:p>
          <w:p>
            <w:pPr>
              <w:keepLines/>
              <w:numPr>
                <w:ilvl w:val="0"/>
                <w:numId w:val="9"/>
              </w:numPr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 составе каждого разрабатываемого раздела проектной документации следует представлять перечень основных нормативных документов, которыми руководствовались при его разработке.</w:t>
            </w:r>
          </w:p>
          <w:p>
            <w:pPr>
              <w:keepLines/>
              <w:numPr>
                <w:ilvl w:val="0"/>
                <w:numId w:val="9"/>
              </w:numPr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 составе проекта организации строительства (ПОС) разработать нормативные графики II уровня (календарный план) строительства с помесячным распределением капитальных затрат 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объёмов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строительно-монтажных работ. </w:t>
            </w:r>
          </w:p>
          <w:p>
            <w:pPr>
              <w:keepLines/>
              <w:numPr>
                <w:ilvl w:val="0"/>
                <w:numId w:val="9"/>
              </w:numPr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 стадии ПД разработать Технические требования (ТТ) и Опросные листы (ОЛ) на основное технологическое оборудование.</w:t>
            </w:r>
          </w:p>
          <w:p>
            <w:pPr>
              <w:keepLines/>
              <w:numPr>
                <w:ilvl w:val="0"/>
                <w:numId w:val="9"/>
              </w:numPr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Подрядчику, по согласованию с Заказчиком, привлечь независимую компетентную организацию для анализа разработанного сметного комплекта документации на предмет полноты и корректности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расчётов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с предоставлением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отчёта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b/>
                <w:color w:val="984806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6.3. Разработать Рабочую документацию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Рабочую документацию разработать в соответствии с Проектной документацией. Рабочая документация разрабатывается в соответствии с требованиями ГОСТ Р 21.1101-2013.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Архитектурные решения (АР)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Конструкции железобетонные (КЖ);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Конструкции металлические (КМ);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Электроснабжение (ЭС);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Силовое электрооборудование (ЭМ);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Электроосвещение (ЭО);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Технология производства (ТХ);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Системы автоматизации технологических 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процессов (АТХ);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Отопление, вентиляция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Сметный расчёт (СМ).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Согласование проектной и рабочей документации с сетевыми организациями, органами местного самоуправления, а также с третьими лицами выполняет Проектная организация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6.4.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Разработать сметную документацию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разработке проекта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В составе проектной и рабочей документации предусмотреть: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Реконструкцию машинного зала с заменой существующего основного и вспомогательного оборудования с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учётом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энергоэффективности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и автоматизации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Реконструкцию решёток с заменой существующих на автоматизированные.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Заменить трубную обвязку насосных агрегатов всасывающих линий с заменой гильз в разделительной перегородке и напорных линий с установкой необходимой запорной арматуры и фасонных частей. 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Реконструкцию трубопровод вспомогательного оборудования  с установкой необходимой запорной арматуры  и фасонных частей.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Предусмотреть систему взмучивания осадка в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приёмном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резервуаре: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- Врезку трубопроводов системы взмучивания в напорные трубопроводы осуществить с верхней образующей для исключения заиливания.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Предусмотреть установку кранов шаровых для выпуска воздуха из насосов.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- Предусмотреть установку полнопроходных обратных клапанов.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- Предусмотреть выпуски с установкой задвижек с ручным управлением для опорожнения напорных трубопроводов.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- На всасывающих трубопроводах предусмотреть ревизии для чистки рабочего колеса.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- Дренажные насосы для отвода воды из помещения насосной станции запроектировать погружными типа «Иртыш» в приямке с автоматическим включением при наполнении. Насосов должно быть не менее двух.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- Предусмотреть сток жидкости с пола машинного зала в приямок.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- Предусмотреть замену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грузоподъёмного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механизма в машинном зале и отделении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решёток (при необходимости)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- Оборудование должно быть расположено в рабочей зоне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грузоподъёмного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механизма.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- По диаметру трубопроводы должны соответствовать оптимальным скоростям движения жидкости.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Проектом предусмотреть устройство лестниц и площадок обслуживания запорной арматуры. 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По всем помещениям выполнить освещение, отопление, вентиляцию.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В отделении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решёток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запроектировать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решётку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–дробилку (мацератор) в соответствии с максимальной производительности,  вентиляцию, замену металлоконструкций.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На самотечной сети запроектировать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отсекающую запорную арматуру с учётом особенностей конструкций самотечной сети.</w:t>
            </w:r>
          </w:p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На напорных коллекторах предусмотреть узлы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учёта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стоков.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Особые условия строительства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Необходимо предусмотреть: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Строительство в условиях действующего производства, на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ограждённой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не охраняемой территории с получением соответствующих допусков. Реконструкция должна осуществляться без остановки технологического процесса.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Производительность: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КНС-7 -  фактическая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16.273.2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м3/сут;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b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  <w:highlight w:val="none"/>
                <w:lang w:val="ru-RU"/>
              </w:rPr>
              <w:t xml:space="preserve">Характеристики </w:t>
            </w:r>
            <w:r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  <w:highlight w:val="none"/>
              </w:rPr>
              <w:t>КНС-7</w:t>
            </w:r>
            <w:r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  <w:highlight w:val="none"/>
                <w:lang w:val="ru-RU"/>
              </w:rPr>
              <w:t>: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На станцию стоки подаются по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двум самотечным коллекторам Ду 1000 мм и Ду 400 мм в приёмный колодец в котором установлен отсекающий шибер Ду 800 мм управляемый с поверхности земли.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В машинном зале установлены пять основных технологических насосных агрегата для перекачки сточных вод: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СД 800/32 производительностью Q= 800 м3∕ч, напором Н=50 м.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СД 800/32 производительностью Q= 800 м3∕ч, напором Н=50 м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СД 800/32 производительностью Q= 800 м3∕ч, напором Н=50 м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GRUNDFOS производительностью Q= 800 м3∕ч, напором Н=50 м.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GRUNDFOS производительностью Q= 800 м3∕ч, напором Н=50 м.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В отделении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решёток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установлено 3 канала, 3 шибера, 3 дробилки, 3 решётки для удержания мусора.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Особые требования к проектированию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При выполнении проектной и рабочей  документации на реконструкцию необходимо выполнить выбор насосного оборудования, запорной арматуры, трубопроводов, электрических приводов, кабельных коммуникаций и систем управления, систем энергообеспечения и связи, АСУ ТП и др. в соответствии с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требованием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Заказчика.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Разработать организационную структуру проектируемого объекта с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учётом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максимальной минимизации оперативного персонала и  автоматизации управления технологическими и производственными процессами.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Проект организации строительства (ПОС) разработать без остановки объекта в соответствии с действующими нормативными документами, согласно требованиям технических условий на проектирование (технические условия на проектирование запрашивает проектировщик в зависимости от необходимых к разработке разделов в порядке сбора исходных данных).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u w:val="single"/>
                <w:lang w:val="ru-RU"/>
              </w:rPr>
              <w:t>Разработать рабочую документацию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u w:val="single"/>
              </w:rPr>
              <w:t>Разработать сметную документацию: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Формирование сметной документации выполнить на основании проектной документации с разделением сметной документации на этапность.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Этапность предварительно согласовать с Заказчиком на этапе проектирования.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При выявлении новых этапов выполнения работ не прописанных в техническом задании, но выявленные в ходе проведения обследования и запроектированные в проекте, разрабатываются отдельный локально-сметные расчёты с разделением на подэтапы.</w:t>
            </w:r>
          </w:p>
          <w:p>
            <w:pPr>
              <w:keepLines/>
              <w:tabs>
                <w:tab w:val="left" w:pos="34"/>
              </w:tabs>
              <w:ind w:right="57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До ввода федеральной государственной информационной системы ценообразования в строительстве (ФГИС ЦС), при разработке сметной документации применять сметные нормативы,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внесённые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в федеральный реестр сметных нормативов базисно-индексным методом. Сметную документацию  формировать с применением индексов по элементам структуры прямых затрат (ФОТ, Эксплуатация машин, Материалы), разрабатываемых ООО "ПРЦЦС" (г. Пермь, Комсомольский пр.62, оф.7), с привлечением средств государственного бюджета всех уровней по видам строительства. </w:t>
            </w:r>
          </w:p>
          <w:p>
            <w:pPr>
              <w:pStyle w:val="244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В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состав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водного сметного расчета в обязательном порядке включается сводная ведомость ТМЦ,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включённых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в смету стройки, в текущих ценах с указанием единиц измерения, количества, цены за единицу и общей стоимости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- 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формирова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ть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коньюктурн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ый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анализ цен на материалы, по которым стоимость отсутствует в сметно-нормативной базе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</w:p>
          <w:p>
            <w:pPr>
              <w:pStyle w:val="244"/>
              <w:numPr>
                <w:ilvl w:val="0"/>
                <w:numId w:val="0"/>
              </w:numPr>
              <w:tabs>
                <w:tab w:val="left" w:pos="0"/>
                <w:tab w:val="left" w:pos="34"/>
              </w:tabs>
              <w:ind w:leftChars="0"/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- в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состав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босновывающих материалов должны быть включены документы подтверждающие отпускные цены на материально технические ресурсы – коммерческие предложения минимум от 3-х поставщико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 на все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ТМЦ включаемых в смету стройки от поставщиков или производителей.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Коммерческие предложения поставщиков 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ли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производителей должны содержать следующую информацию: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цена за единицу без НДС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величина НДС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сроки изготовления в месяцах (неделях)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соответствие ГОСТам и иным регулирующим документам производителя, сертификации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стоимость доставки в регион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затраты по шеф-монтажным и шеф-наладочным работам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  <w:lang w:val="ru-RU"/>
              </w:rPr>
              <w:t xml:space="preserve">- 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стоимость ЗИП.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В качестве Поставщиков выбираются производители или поставщики соответствующих следующим критериям: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а) являются официальными производителями или оптовыми поставщиками;</w:t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Helv" w:cs="Times New Roman"/>
                <w:b w:val="0"/>
                <w:bCs/>
                <w:color w:val="000000"/>
                <w:sz w:val="22"/>
                <w:szCs w:val="22"/>
              </w:rPr>
              <w:t>б) отсутствуют в реестре недобросовестных поставщиков (подрядчиков, исполнителей).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Сметную документацию разработать согласно требованиям прилагаемых технических условий на проектирование (технические условия на проектирование предлагаем запрашивать проектировщику в зависимости от необходимых к разработке разделов в порядке сбора исходных данных)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Предусмотреть передачу сметной документации в основном формате ПО «ГРАНД-Смета» и форматах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XLSX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Сводные технико-экономические показатели проектной документации представить в соответствии с «Методическими рекомендациями по оценке эффективности инвестиционных проектов и их отбору для финансирования»,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утверждёнными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Минэкономики России, Минфином России, Госстроем России 21.06.1999 г. № ВК477.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Оборудование и технические характеристики подлежат обоснованию в ОПР.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качеству.</w:t>
            </w:r>
          </w:p>
          <w:p>
            <w:pPr>
              <w:jc w:val="both"/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Разработать технологические и технические решения, ведущие к снижению капиталовложений и эксплуатационных затрат и соответствующие мировому уровню.  При проектировании необходимо применение наилучших доступных технологий в соответствии с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утверждёнными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справочниками.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Предусмотреть применение оборудования, запорно-регулирующей арматуры, изоляционных покрытий и соединительных деталей трубопроводов, сертифицированных в установленном порядке 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разрешённых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к применению для сточной  жидкости.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Оборудование и запорную арматуру согласовать с заказчиком в стадии разработки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ОПР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. 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Насосное оборудование применить для сточной жидкости с твердыми и длинноволокнистыми  включениями с КПД не ниже 75%.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Проточная часть насоса должна быть адаптивная, самоочищающаяся: Насосный агрегат должен быть оснащён самоочищающимся рабочим колесом с ответной частью с разгрузочной канавкой и направляющим пальцем для удаления длинноволокнистых включений. Рабочее колесо должно адаптироваться к величине длинноволокнистых включений и смещаться по оси вала насоса, чтобы обеспечить проход крупных загрязнений.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Предусмотреть применение энергосберегающих технологий, оборудования и материалов. Международный класс энергоэффективности электродвигателя не ниже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IE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Тепловая защита электродвигателя (встроенные в статор термоконтакты для защиты от перегрева);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Контроль наличия воды в статоре электродвигателя (датчик);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Запроектировать электрофицированные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грузоподъёмные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механизмы в машинном зале и отделении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решёток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Опросные листы необходимо оформить на все оборудование, запорную арматуру, машины и механизмы, используемые в проекте.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1"/>
              </w:numPr>
              <w:tabs>
                <w:tab w:val="left" w:pos="476"/>
              </w:tabs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Защиту строительных конструкций от коррозии предусмотреть в соответствии с требованиями действующих нормативных документов.</w:t>
            </w:r>
          </w:p>
          <w:p>
            <w:pPr>
              <w:keepLines/>
              <w:numPr>
                <w:ilvl w:val="0"/>
                <w:numId w:val="1"/>
              </w:numPr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Площадки обслуживания и технологические лестницы должны отвечать требованиям ГОСТ 23120-2016 «Лестницы маршевые, площадки и ограждения стальные. Технические условия».  Во всех случаях площадки лестницы должны иметь настил, выполненный из металлических листов с поверхностью, исключающей возможность скольжения.</w:t>
            </w:r>
          </w:p>
          <w:p>
            <w:pPr>
              <w:keepLines/>
              <w:numPr>
                <w:ilvl w:val="0"/>
                <w:numId w:val="1"/>
              </w:numPr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Конструктивные и инженерные решения должны быть предварительно согласованы с Заказчиком.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и условия к разработке природоохранных мероприятий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Разработать перечень природоохранных мероприятий согласно Постановления Правительства РФ от 16.02.2008 г. №87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 к системе управления ко всем объектам: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Система управления насосными агрегатами должна работать в следующих режимах-автоматический по уровню стоков в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приёмной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камере, ручной режим управления с местных пультов.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Запроектировать  передачу данных  в аварийно-диспетчерскую службу по адресу: г. Березники, ул. Березниковская 95: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   Расход стоков по коллекторам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Давление стоков на напорных коллекторах, напорной и всасывающей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гребёнках;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  Уровень стоков в грабельном отделении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Индикацию наличия напряжения на электрических вводах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Состояние насосных агрегатов (работа, ремонт, резерв)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Состояние технологического оборудования – устройств сорозадержания, запорной арматуры, дренажных и насосов, систем вентиляции и т.д.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Токи нагрузки насосных агрегатов по фазно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Сигналы затопление машинного отделения, грабельного отделения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;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потребление электроэнергии по каждому насосному агрегату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Предусмотреть автоматический и ручной режимы запуска насосного и технологического оборудования с автоматизированного рабочего места машиниста.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Предусмотреть проектом местные пульты с возможностью ручного и автоматического запуска насосного и технологического оборудования.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Предусмотреть возможность ручного запуска насосных агрегатов и технологического оборудования в случае выхода из строя управляющих контроллеров.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Шкафы управления (кроме местных пультов)  запроектировать вне зоны возможного затопления станции.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Запроектировать датчики для контроля давления на напорных коллекторах, всасывающей и напорной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гребёнках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.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Запроектировать датчики уровня в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приёмном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отделении и резервуарах технической воды. В качестве датчиков уровня использовать ультразвуковые или радарные уровнемеры.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Запроектировать стационарные датчики для контроля температуры: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помещений станции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подшипников насоса и электродвигателя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обмоток и железа статора электродвигателя насоса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Запроектировать датчики для защиты от сухого хода насосных агрегатов.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Запроектировать датчики затопления машинного зала, грабельного отделения.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При проектировании предусмотреть установку местных индикаторов (амперметров, вольтметров) и виброустойчивых манометров.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 качестве запорной арматуры для преобразователей давления и манометров применить шаровой трехходовой кран.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Алгоритмы работы систем автоматики и применяемые средства измерения и автоматизации предварительно согласовать с заказчиком . 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Запроектировать систему газоаналитического контроля для контроля соблюдения ПДК в рабочей зоне.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Шкафы управления системой АСУТП разработать на базе серийно выпускаемых контроллеров, при необходимости оснастить местными сенсорными панелями управления.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Шкафы управления, контроллерное оборудование и кабельная продукция должны подбираться в исполнении, соответствующем условиям их эксплуатации по температуре окружающей среды и помехозащищенности, защищенности от проникновения влаги и пыли, стойким к коррозии. В шкафах управления и телеметрии обеспечить необходимый для бесперебойной работы оборудования температурный режим.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Проектируемые средства измерения должны быть включены в Госреестр как средства измерения и иметь действующее свидетельство об утверждении типа.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Проектом предусмотреть необходимый перечень запасных частей для оперативного восстановления работоспособности систем автоматики. В состав запасных частей включить инженерную станцию для конфигурирования контроллеров и датчиков.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Проектные решения по автоматизации технологических процессов выполнить в соответствии с действующими нормативными документами.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Основные решения по автоматизации, структурные и функциональные схемы АСУ различных уровней, описание комплекса технических средств предоставить и согласовать в составе ОПР.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При технической необходимости в составе РД предусмотреть использование прикладного программного обеспечения (в том числе разработанного для конкретного проекта) в составе верхнего уровня АСУ системы ВиВ.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 системе АСУ ТП предъявляются следующие требования: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нформационная безопасность и контроль доступа в соответствии с требованиями № 187-ФЗ «О безопасности критической информационной инфраструктуры РФ» от 19.07.2017 г.;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Надёжность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в соответствии с «ГОСТ 24.701-86 «Единая система стандартов автоматизированных систем управления.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Надёжность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автоматизированных систем управления. Основные положения»;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атентная чистота программного обеспечения. Программное обеспечение систем АСУ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КНС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должно разрабатываться на основе лицензионных пакетов ПО, соответствующих требованиям международных стандартов;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разработка видов обеспечения – технического, организационного, информационного, математического, общесистемных решений – в соответствии с РД 50-34.698-90 «Методические указания. Информационная технология. Автоматизированные системы. Требования к содержанию документов».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Разработать математическое, информационное, организационное обеспечение с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учётом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номинального, особых и аварийных режимов работы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КНС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и обеспечения требований контроля доступа и информационной безопасности;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Алгоритмы работы систем автоматики и применяемые средства измерения и автоматизации предварительно согласовать с заказчиком 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Технические требования к АСУТП в приложении 1.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Разработать раздел РД согласно Федеральному закону от 26.06.2008 г. № 102-ФЗ «Об обеспечении единства измерений» и иных законодательных и нормативных документов в области метрологии и контроля качества.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Раздел должен устанавливать требования: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к организации измерений по проекту в целом, по объектам, по материальным потокам энергоресурсов; устанавливать требования к средствам измерений, измерительным системам, метрологической экспертизе проекта,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объёму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разрешительной, технической и эксплуатационной документации; требования к условиям эксплуатации, организации поверки/калибровки, техобслуживания;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Основные решения по организации измерений согласовать в составе ОПР.</w:t>
            </w:r>
          </w:p>
          <w:p>
            <w:pPr>
              <w:keepLines/>
              <w:spacing w:after="80"/>
              <w:ind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34" w:right="57"/>
              <w:jc w:val="both"/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szCs w:val="22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применяемым единицам физических величин в соответствии с Постановлением Правительства РФ от 31.10.2009 №879 (ред. от 15.08.2015) «Об утверждении Положения о единицах величин, допускаемых к применению в Российской Федерации».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Технологическая связь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Провести обследование  существующих технических средств, линий и сооружений связи на объектах.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Выполнить проработку системно-сетевых решений по обеспечению взаимной интеграции проектируемых средств, линий и сооружений связи с существующими сетями с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учётом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резервирования трактов передачи информации, а также формирования обходных путей.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Проектные решения выполнить в соответствии с прилагаемыми Техническими условиями на разработку проекта и полученными в процессе проектирования техническими условиями от третьих лиц (технические условия на проектирование предлагается запрашивать проектировщику в зависимости от необходимых к разработке разделов в порядке сбора исходных данных).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Предусмотреть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очерёдность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строительства сетей связи для начального и последующих этапов строительства.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Проектные решения в области связи, технические условия, номенклатуру и технические характеристики оборудования согласовать с Заказчиком в составе ОПР.</w:t>
            </w:r>
          </w:p>
          <w:p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Энергоснабжение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При проведении предпроектного обследования провести анализ параметров и технических решений объекта в части подсистемы электроснабжения. При технической необходимости разработать проектную документацию по модернизации подсистемы электроснабжения КНС с обязательной реализацией автоматического ввода резерва (АВР), установки релейной защиты и автоматики (РЗА), устройств защиты от перенапряжений (УЗИП), организации системы уравнивания потенциалов (СУП) и заземления, средств молниеотвода на конструкциях КНС и подходящих воздушных линиях (ВЛ). Требования к перечисленным функциональным узлам подсистемы электроснабжения в соответствии с требованиями действующей нормативной документации.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Номенклатуру и технические характеристики энергетического оборудования, используемого в проектной документации, согласовать с Заказчиком.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энергосбережению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 соответствии с Постановление № 87 от 16.02.2008 г. разработать раздел для объектов производственного назначения «Мероприятия по обеспечению соблюдения требований энергетической эффективности и требований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оснащённости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зданий, строений и сооружений приборами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учёта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используемых энергетических ресурсов».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Предусмотреть применение энергоэффективных технологий, оборудования и материалов.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Предусмотреть применение и развитие системы технической диагностики.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промышленной безопасности, охране и гигиене труда</w:t>
            </w:r>
          </w:p>
          <w:p>
            <w:pPr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Принятые технологии, оборудование, строительные решения,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Выделение очередей и пусковых комплексов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Предусмотреть реконструкцию с условиями бесперебойной работы насосной станции: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реконструкция машинного зала с заменой  насосных агрегатов, запорной арматуры, трубопроводов, шкафов управления, электрооборудования и автоматизации.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ассимиляции производства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Максимально использовать существующие здания, сети и инженерные коммуникации действующего объекта.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Не разрабатывать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 w:hanging="3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Разработать раздел “Мероприятия по обеспечению пожарной безопасности”, в соответствии с Постановлением Правительства Российской Федерации от 16.02.2008 г. №87 “О составе разделов проектной документации и требованиях к их содержанию”, №123-ФЗ «ТР о требованиях ПБ», ГОСТ Р 21.1101-2013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36"/>
              <w:spacing w:before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по инженерно-технической защищенности объектов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4"/>
              <w:spacing w:after="80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Ограждение объекта должно соответствовать требованиям действующих нормативных документов.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 w:hanging="3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системам безопасности и охране объектов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Разработать проектные решения по охране объектов и оснащению объектов проектирования системами антитеррористической защиты в увязке с решениями по охранно-пожарной сигнализации в соответствии с Постановлением Правительства РФ от 23.12.2016 N 1467 (ред. от 18.04.2018) "Об утверждении требований к антитеррористической защищенности объектов водоснабжения и водоотведения, формы паспорта безопасности объекта водоснабжения и водоотведения и о внесении изменений в некоторые акты Правительства Российской Федерации"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Для объектов автоматизации и связи (АСУ, ИУС, ОСОДУ и др.) при необходимости разработать раздел «Информационная безопасность» с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учётом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требований корпоративных нормативных документов.</w:t>
            </w:r>
          </w:p>
          <w:p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bookmarkStart w:id="42" w:name="_GoBack"/>
            <w:bookmarkEnd w:id="42"/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 w:hanging="33"/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</w:rPr>
              <w:t>Экспертиза сметной документации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Helv" w:cs="Times New Roman"/>
                <w:b w:val="0"/>
                <w:bCs w:val="0"/>
                <w:color w:val="000000"/>
                <w:sz w:val="22"/>
                <w:szCs w:val="22"/>
              </w:rPr>
              <w:t>Провести независимую экспертизу сметной стоимости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Заказчик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ООО «Березниковская водоснабжающая компания»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Субподрядные проектные организации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 согласованию с Заказчиком.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Срок выполнения работы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right="57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Начало работ:</w:t>
            </w:r>
          </w:p>
          <w:p>
            <w:pPr>
              <w:keepLines/>
              <w:ind w:right="57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2"/>
                <w:szCs w:val="22"/>
                <w:highlight w:val="none"/>
                <w:lang w:val="ru-RU"/>
              </w:rPr>
              <w:t xml:space="preserve">Подрядчик приступает к выполнению работ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с</w:t>
            </w:r>
            <w:r>
              <w:rPr>
                <w:rFonts w:hint="default" w:ascii="Times New Roman" w:hAnsi="Times New Roman" w:cs="Times New Roman"/>
                <w:bCs/>
                <w:iCs/>
                <w:sz w:val="22"/>
                <w:szCs w:val="22"/>
                <w:highlight w:val="none"/>
                <w:lang w:val="ru-RU"/>
              </w:rPr>
              <w:t xml:space="preserve"> момента получения письменного уведомления от Заказчика, но не ранее 01 апреля 2023 года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Окончание работ: </w:t>
            </w:r>
            <w:r>
              <w:rPr>
                <w:rFonts w:hint="default" w:ascii="Times New Roman" w:hAnsi="Times New Roman" w:cs="Times New Roman"/>
                <w:bCs/>
                <w:iCs/>
                <w:color w:val="auto"/>
                <w:sz w:val="22"/>
                <w:szCs w:val="22"/>
                <w:highlight w:val="none"/>
                <w:lang w:val="ru-RU"/>
              </w:rPr>
              <w:t>не позднее 29 июня 2023 года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Состав демонстрационных материалов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tabs>
                <w:tab w:val="left" w:pos="459"/>
              </w:tabs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По требованию Заказчика: </w:t>
            </w:r>
          </w:p>
          <w:p>
            <w:pPr>
              <w:keepLines/>
              <w:tabs>
                <w:tab w:val="left" w:pos="459"/>
              </w:tabs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эскизы, схемы и графики планировочных, компоновочных решений и технико-экономических показателей.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4"/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Срок действия задания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 течении срока проектирования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Порядок сдачи работы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0" w:right="34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Подрядчик выполняет следующие работы:</w:t>
            </w:r>
          </w:p>
          <w:p>
            <w:pPr>
              <w:keepLines/>
              <w:spacing w:after="80"/>
              <w:ind w:left="754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представляет заказчику материалы проектной документации в 5-х экземплярах на бумажных носителях и в 1-ом экземпляре на электронном носителе согласно требованиям к форматам предоставления документации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Проектные спецификации по всем разделам выдать дополнительно в электронном виде в формате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XLSX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).</w:t>
            </w:r>
          </w:p>
          <w:p>
            <w:pPr>
              <w:keepLines/>
              <w:tabs>
                <w:tab w:val="left" w:pos="317"/>
              </w:tabs>
              <w:spacing w:after="80"/>
              <w:ind w:left="33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 бумажном носителе - в 5-ти экземплярах;</w:t>
            </w:r>
          </w:p>
          <w:p>
            <w:pPr>
              <w:keepLines/>
              <w:tabs>
                <w:tab w:val="left" w:pos="317"/>
              </w:tabs>
              <w:spacing w:after="80"/>
              <w:ind w:left="33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 электронном виде - на флэш-накопителе 1 экземпляре. Документация должна иметь форматы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DOC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DOCX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) 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XLSX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). При необходимости могут быть использованы другие форматы передачи данных.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Требования к передаче материалов на электронных носителях</w:t>
            </w:r>
          </w:p>
        </w:tc>
        <w:tc>
          <w:tcPr>
            <w:tcW w:w="5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Электронная версия комплекта документации передается на оптических дисках в одном экземпляре, изготовленных разработчиком документации. Допускается использовать носители формата CD-R и DVD±R.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 лицевой поверхности диска должна быть нанесена печатным способом маркировка с указанием: наименование и тип документации, Заказчика, Исполнителя,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 корневом каталоге диска должен находиться текстовый файл содержания в формате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TXT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или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1.7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AEL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3).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Состав и содержание записанной на диск информации должны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Технологические схемы и чертежи представить в форматах 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1.7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AEL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3)  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2013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1027) или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2018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1032):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 версия – графический образ документации со сканированными страницами согласования, содержащих подписи, печати и необходимые отметки, чертежи основных комплектов в формате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1.7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AEL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3);</w:t>
            </w:r>
          </w:p>
          <w:p>
            <w:pPr>
              <w:keepLines/>
              <w:spacing w:after="80"/>
              <w:ind w:left="34" w:right="57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 версия – исходная документация в формате разработки:</w:t>
            </w:r>
          </w:p>
          <w:p>
            <w:pPr>
              <w:keepLines/>
              <w:spacing w:after="80"/>
              <w:ind w:left="754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чертежи  и схемы –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2013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1027) или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2018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1032);</w:t>
            </w:r>
          </w:p>
          <w:p>
            <w:pPr>
              <w:keepLines/>
              <w:spacing w:after="80"/>
              <w:ind w:left="567" w:right="57" w:firstLine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картографические материалы,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включённые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в проектную и рабочую документацию – в форматах чтения ПО «MapI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n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fo»,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PDF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1.7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AEL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3),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2013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1027) или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DWG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2018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AC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1032), в формате ГИС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Zulu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», а также в формате GDB  (ГИС «ВЕГА»)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9" w:type="dxa"/>
          <w:trHeight w:val="375" w:hRule="atLeast"/>
          <w:jc w:val="center"/>
        </w:trPr>
        <w:tc>
          <w:tcPr>
            <w:tcW w:w="4421" w:type="dxa"/>
            <w:gridSpan w:val="3"/>
          </w:tcPr>
          <w:p>
            <w:pPr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Приложения:</w:t>
            </w:r>
          </w:p>
          <w:p>
            <w:pPr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51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9" w:type="dxa"/>
          <w:trHeight w:val="375" w:hRule="atLeast"/>
          <w:jc w:val="center"/>
        </w:trPr>
        <w:tc>
          <w:tcPr>
            <w:tcW w:w="9072" w:type="dxa"/>
            <w:gridSpan w:val="4"/>
          </w:tcPr>
          <w:p>
            <w:pPr>
              <w:rPr>
                <w:rFonts w:hint="default" w:ascii="Times New Roman"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Приложение №1.1. Технические требования на проектирование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9" w:type="dxa"/>
          <w:trHeight w:val="375" w:hRule="atLeast"/>
          <w:jc w:val="center"/>
        </w:trPr>
        <w:tc>
          <w:tcPr>
            <w:tcW w:w="9072" w:type="dxa"/>
            <w:gridSpan w:val="4"/>
          </w:tcPr>
          <w:p>
            <w:pPr>
              <w:rPr>
                <w:rFonts w:hint="default" w:ascii="Times New Roman" w:hAnsi="Times New Roman" w:cs="Times New Roman"/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Приложение № 1.2. Технические требования  в системе АСУ</w:t>
            </w:r>
          </w:p>
        </w:tc>
      </w:tr>
    </w:tbl>
    <w:p>
      <w:pPr>
        <w:outlineLvl w:val="3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outlineLvl w:val="3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outlineLvl w:val="3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Cs/>
          <w:iCs/>
          <w:spacing w:val="-4"/>
          <w:sz w:val="22"/>
          <w:szCs w:val="22"/>
        </w:rPr>
        <w:t>Согласовано</w:t>
      </w:r>
    </w:p>
    <w:tbl>
      <w:tblPr>
        <w:tblStyle w:val="53"/>
        <w:tblW w:w="957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8"/>
        <w:gridCol w:w="2232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2" w:type="dxa"/>
          </w:tcPr>
          <w:p>
            <w:pPr>
              <w:jc w:val="center"/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Заместитель главного инженера по производству</w:t>
            </w:r>
          </w:p>
        </w:tc>
        <w:tc>
          <w:tcPr>
            <w:tcW w:w="2232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А.Ю. Петров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2" w:type="dxa"/>
          </w:tcPr>
          <w:p>
            <w:pPr>
              <w:jc w:val="center"/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Начальник ЦСК</w:t>
            </w:r>
          </w:p>
        </w:tc>
        <w:tc>
          <w:tcPr>
            <w:tcW w:w="2232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А.С. Передерий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2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Начальник СИТиС</w:t>
            </w:r>
          </w:p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Начальник ПТО</w:t>
            </w:r>
          </w:p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Начальник ОПР</w:t>
            </w:r>
          </w:p>
        </w:tc>
        <w:tc>
          <w:tcPr>
            <w:tcW w:w="2232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П.П. Меньшиков</w:t>
            </w:r>
          </w:p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И.Г. Карнаухова</w:t>
            </w:r>
          </w:p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Е.Н. Моховикова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232" w:type="dxa"/>
          </w:tcPr>
          <w:p>
            <w:pPr>
              <w:outlineLvl w:val="3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br w:type="page"/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52"/>
        <w:tblW w:w="103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791"/>
        <w:gridCol w:w="28"/>
        <w:gridCol w:w="4786"/>
        <w:gridCol w:w="1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34" w:type="dxa"/>
        </w:trPr>
        <w:tc>
          <w:tcPr>
            <w:tcW w:w="4791" w:type="dxa"/>
          </w:tcPr>
          <w:p>
            <w:pPr>
              <w:pStyle w:val="373"/>
              <w:keepLines/>
              <w:spacing w:line="240" w:lineRule="auto"/>
              <w:ind w:right="15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4990" w:type="dxa"/>
            <w:gridSpan w:val="3"/>
          </w:tcPr>
          <w:p>
            <w:pPr>
              <w:ind w:right="15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</w:trPr>
        <w:tc>
          <w:tcPr>
            <w:tcW w:w="5353" w:type="dxa"/>
            <w:gridSpan w:val="3"/>
            <w:shd w:val="clear" w:color="auto" w:fill="auto"/>
          </w:tcPr>
          <w:p>
            <w:pPr>
              <w:rPr>
                <w:rStyle w:val="51"/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rPr>
                <w:rStyle w:val="51"/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rPr>
                <w:rStyle w:val="51"/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6" w:type="dxa"/>
            <w:shd w:val="clear" w:color="auto" w:fill="auto"/>
          </w:tcPr>
          <w:p>
            <w:pPr>
              <w:spacing w:line="360" w:lineRule="auto"/>
              <w:contextualSpacing/>
              <w:rPr>
                <w:rStyle w:val="51"/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Style w:val="51"/>
                <w:rFonts w:hint="default" w:ascii="Times New Roman" w:hAnsi="Times New Roman" w:cs="Times New Roman"/>
                <w:sz w:val="22"/>
                <w:szCs w:val="22"/>
              </w:rPr>
              <w:t>Приложение № 1.1 к приложению №1</w:t>
            </w:r>
          </w:p>
          <w:p>
            <w:pPr>
              <w:spacing w:line="360" w:lineRule="auto"/>
              <w:contextualSpacing/>
              <w:rPr>
                <w:rStyle w:val="51"/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Style w:val="51"/>
                <w:rFonts w:hint="default" w:ascii="Times New Roman" w:hAnsi="Times New Roman" w:cs="Times New Roman"/>
                <w:sz w:val="22"/>
                <w:szCs w:val="22"/>
              </w:rPr>
              <w:t>к договору № _________ от ____________.</w:t>
            </w:r>
          </w:p>
        </w:tc>
      </w:tr>
    </w:tbl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ind w:left="-12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</w:tabs>
        <w:spacing w:line="360" w:lineRule="auto"/>
        <w:ind w:left="-12"/>
        <w:contextualSpacing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spacing w:line="360" w:lineRule="auto"/>
        <w:contextualSpacing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ТЕХНИЧЕСКИЕ ТРЕБОВАНИЯ НА ПРОЕКТИРОВАНИЕ</w:t>
      </w:r>
    </w:p>
    <w:p>
      <w:pPr>
        <w:spacing w:line="360" w:lineRule="auto"/>
        <w:contextualSpacing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br w:type="page"/>
      </w:r>
    </w:p>
    <w:p>
      <w:pPr>
        <w:pStyle w:val="3"/>
        <w:numPr>
          <w:ilvl w:val="0"/>
          <w:numId w:val="10"/>
        </w:numPr>
        <w:rPr>
          <w:rFonts w:hint="default" w:ascii="Times New Roman" w:hAnsi="Times New Roman" w:cs="Times New Roman"/>
          <w:sz w:val="22"/>
          <w:szCs w:val="22"/>
        </w:rPr>
      </w:pPr>
      <w:bookmarkStart w:id="0" w:name="_Toc519518549"/>
      <w:r>
        <w:rPr>
          <w:rFonts w:hint="default" w:ascii="Times New Roman" w:hAnsi="Times New Roman" w:cs="Times New Roman"/>
          <w:sz w:val="22"/>
          <w:szCs w:val="22"/>
        </w:rPr>
        <w:t>Перечень принятых сокращений</w:t>
      </w:r>
      <w:bookmarkEnd w:id="0"/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АРМ – автоматизированное рабочее место;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АСКУЭ – автоматизированная система коммерческого учета электроэнергии;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АСТУЭ – автоматизированная система технического учета электроэнергии;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АСУ – автоматизированная система управления;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АСУ ТП – автоматизированная система управления технологическими процессами;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АСУЭ - автоматизированная система управления электроснабжением;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АУПТ – автоматическая установка пожаротушения;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АУПС – автоматическая установка пожарной сигнализации;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БД – база данных;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ВК – водоснабжение и канализация;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ВЛ – воздушная линия;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ГО – гражданская оборона;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ГОСТ – государственный стандарт;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ГОСТ Р – государственный стандарт РФ;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ДЭС – дизельная электростанция;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ЕСКД – единая система конструкторской документации;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ЕСТД – единая система технологической документации;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ЗИП – запасные части, инструменты и приспособления;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ЗРА – запорно-регулирующая арматура;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ЗСО – зона санитарной охраны;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ИБП – система бесперебойного питания;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ИТМ – инженерно-технические мероприятия;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ИСО – интегрированная система охраны;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ИУС – информационно-управляющая система;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КИПиА – контрольно-измерительные приборы и автоматика;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КЛ – кабельная линия;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КОС – канализационные очистные сооружения;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КТП – комплексная трансформаторная подстанция;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ЛСР – локальный сметный расчет;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МД – методическая документация;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МТР – материально технический ресурс;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НА – насосный агрегат;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НД – нормативная документация;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НДС – нормативно допустимое содержание;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НИОКР – научно-исследовательские и опытно-конструкторские работы;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НС – насосная станция;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УФ – ультрафиолетовое излучение;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ИК – инфракрасное излучение; 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ОПИ – общераспространенные полезные ископаемые;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ПАЗ – противоаварийная защита;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ПД – проектная документация;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ПДВ – предельно допустимый выброс;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ПДК – предельно допустимая концентрация;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ПЖО – пожарная охрана;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ПИР – проектно-изыскательные работы;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ПК – персональный компьютер;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ПЛК – программируемый логический контроллер;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ПО – программное обеспечение;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ПОС – проект организации строительства;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ПТК – программно-технический комплекс;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ПУЭ – Правила устройства электроустановок;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ПЧ – преобразователь частоты;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РЭ – руководство по эксплуатации;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РУ – распределительное устройство;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СД – синхронный электродвигатель;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СИЗ – средства индивидуальной защиты;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СМР – строительно-монтажные работы;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СПТ – система пожаротушения;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СОУЭ – система оповещения и управления эвакуацией людей при пожаре;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СУП – система уравнивания потенциалов;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ТЗ – техническое задание;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ТТ – технические требования;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УПП – устройство плавного пуска;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УЗИП – устройство защиты от перенапряжения;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ФГИС ЦС – Федеральная государственная информационная система ценообразования в строительстве;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ФОТ – фонд оплаты труда;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ЧС – чрезвычайная ситуация;</w:t>
      </w:r>
    </w:p>
    <w:p>
      <w:pPr>
        <w:tabs>
          <w:tab w:val="left" w:pos="4320"/>
        </w:tabs>
        <w:spacing w:after="80" w:line="360" w:lineRule="auto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ЭД – эксплуатационная документация.</w:t>
      </w:r>
    </w:p>
    <w:p>
      <w:pPr>
        <w:rPr>
          <w:rFonts w:hint="default" w:ascii="Times New Roman" w:hAnsi="Times New Roman" w:cs="Times New Roman"/>
          <w:bCs/>
          <w:sz w:val="22"/>
          <w:szCs w:val="22"/>
        </w:rPr>
      </w:pPr>
    </w:p>
    <w:p>
      <w:pPr>
        <w:pStyle w:val="3"/>
        <w:numPr>
          <w:ilvl w:val="0"/>
          <w:numId w:val="0"/>
        </w:num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br w:type="page"/>
      </w:r>
    </w:p>
    <w:p>
      <w:pPr>
        <w:pStyle w:val="3"/>
        <w:rPr>
          <w:rFonts w:hint="default" w:ascii="Times New Roman" w:hAnsi="Times New Roman" w:cs="Times New Roman"/>
          <w:sz w:val="22"/>
          <w:szCs w:val="22"/>
        </w:rPr>
      </w:pPr>
      <w:bookmarkStart w:id="1" w:name="_Toc519518552"/>
      <w:r>
        <w:rPr>
          <w:rFonts w:hint="default" w:ascii="Times New Roman" w:hAnsi="Times New Roman" w:cs="Times New Roman"/>
          <w:sz w:val="22"/>
          <w:szCs w:val="22"/>
        </w:rPr>
        <w:t>Общие сведения и пояснения</w:t>
      </w:r>
      <w:bookmarkEnd w:id="1"/>
    </w:p>
    <w:p>
      <w:pPr>
        <w:pStyle w:val="244"/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</w:rPr>
        <w:t>Целью данного раздела является разработка проектной и рабочей документаций для дальнейшего производства работ по реконструкции и автоматизации  КНС-7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.</w:t>
      </w:r>
    </w:p>
    <w:p>
      <w:pPr>
        <w:pStyle w:val="244"/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общим сведениям объекта относятся: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Краткая характеристика объекта;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Другие общие сведения и пояснения, позволяющие однозначно идентифицировать объект.</w:t>
      </w:r>
    </w:p>
    <w:p>
      <w:pPr>
        <w:pStyle w:val="3"/>
        <w:rPr>
          <w:rFonts w:hint="default" w:ascii="Times New Roman" w:hAnsi="Times New Roman" w:cs="Times New Roman"/>
          <w:sz w:val="22"/>
          <w:szCs w:val="22"/>
        </w:rPr>
      </w:pPr>
      <w:bookmarkStart w:id="2" w:name="_Toc519518553"/>
      <w:r>
        <w:rPr>
          <w:rFonts w:hint="default" w:ascii="Times New Roman" w:hAnsi="Times New Roman" w:cs="Times New Roman"/>
          <w:sz w:val="22"/>
          <w:szCs w:val="22"/>
        </w:rPr>
        <w:t>Исходные данные</w:t>
      </w:r>
      <w:bookmarkEnd w:id="2"/>
    </w:p>
    <w:p>
      <w:pPr>
        <w:tabs>
          <w:tab w:val="left" w:pos="567"/>
        </w:tabs>
        <w:spacing w:line="360" w:lineRule="auto"/>
        <w:ind w:firstLine="567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При разработке проектов используются следующие входные данные: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Сведения о ранее выполненных и выполняемых на момент согласования задания предпроектных, проектных и НИОКР, их статус, состояние согласования, экспертиз и др. информация;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Результаты обследования действующего оборудования и технологических коммуникаций;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Входные параметры подсистем;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режиму работы и технологии производства;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выходным параметрам подсистем;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Другие исходные данные.</w:t>
      </w:r>
    </w:p>
    <w:p>
      <w:pPr>
        <w:pStyle w:val="3"/>
        <w:rPr>
          <w:rFonts w:hint="default" w:ascii="Times New Roman" w:hAnsi="Times New Roman" w:cs="Times New Roman"/>
          <w:sz w:val="22"/>
          <w:szCs w:val="22"/>
        </w:rPr>
      </w:pPr>
      <w:bookmarkStart w:id="3" w:name="_Toc519518554"/>
      <w:r>
        <w:rPr>
          <w:rFonts w:hint="default" w:ascii="Times New Roman" w:hAnsi="Times New Roman" w:cs="Times New Roman"/>
          <w:sz w:val="22"/>
          <w:szCs w:val="22"/>
        </w:rPr>
        <w:t>Требования к проектированию</w:t>
      </w:r>
      <w:bookmarkEnd w:id="3"/>
    </w:p>
    <w:p>
      <w:pPr>
        <w:pStyle w:val="3"/>
        <w:numPr>
          <w:ilvl w:val="1"/>
          <w:numId w:val="1"/>
        </w:numPr>
        <w:rPr>
          <w:rFonts w:hint="default" w:ascii="Times New Roman" w:hAnsi="Times New Roman" w:cs="Times New Roman"/>
          <w:sz w:val="22"/>
          <w:szCs w:val="22"/>
        </w:rPr>
      </w:pPr>
      <w:bookmarkStart w:id="4" w:name="_Toc519518555"/>
      <w:r>
        <w:rPr>
          <w:rStyle w:val="202"/>
          <w:rFonts w:hint="default" w:ascii="Times New Roman" w:hAnsi="Times New Roman" w:cs="Times New Roman"/>
          <w:b/>
          <w:bCs w:val="0"/>
          <w:sz w:val="22"/>
          <w:szCs w:val="22"/>
        </w:rPr>
        <w:t>Требования к технологическим решениям</w:t>
      </w:r>
      <w:bookmarkEnd w:id="4"/>
    </w:p>
    <w:p>
      <w:pPr>
        <w:pStyle w:val="244"/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К технологическим решениям предъявляются следующие требования:</w:t>
      </w:r>
    </w:p>
    <w:p>
      <w:pPr>
        <w:pStyle w:val="244"/>
        <w:numPr>
          <w:ilvl w:val="3"/>
          <w:numId w:val="11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При проектировании необходимо применять наилучшие доступные технологии в соответствии с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утверждёнными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справочниками;</w:t>
      </w:r>
    </w:p>
    <w:p>
      <w:pPr>
        <w:pStyle w:val="244"/>
        <w:numPr>
          <w:ilvl w:val="0"/>
          <w:numId w:val="11"/>
        </w:numPr>
        <w:tabs>
          <w:tab w:val="left" w:pos="567"/>
          <w:tab w:val="clear" w:pos="1418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Предусмотреть описание исходных данных по технологии действующих площадок, водозаборов, линейных сооружений, сооружений водоснабжения и водоотведения, обосновывающих требования к технологии производства;</w:t>
      </w:r>
    </w:p>
    <w:p>
      <w:pPr>
        <w:pStyle w:val="244"/>
        <w:numPr>
          <w:ilvl w:val="0"/>
          <w:numId w:val="11"/>
        </w:numPr>
        <w:tabs>
          <w:tab w:val="left" w:pos="567"/>
          <w:tab w:val="left" w:pos="1021"/>
          <w:tab w:val="clear" w:pos="1418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технологи производства;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унификации технологических решений;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технологическим системам;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элементам технологической схемы;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о необходимости измерения параметров технологического процесса;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оборудованию, в том числе: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технические требования по блочно-модульной конструкции максимальной заводской готовности;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требования к монтажу и пуску в эксплуатацию;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требования к наличию сертификата в соответствии с ТР ТО, ГОСТ, СанПиН;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оборудование, применяемое на ОПО, должно пройти подтверждение требованиям технических регламентов и иметь сертификат (декларацию ТР ТС). В случае, если оборудование не является объектом технического регулирования (не попадает ни под один из действующих регламентов), оно должно пройти экспертизу промышленной безопасности; 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требования к наличию необходимой технической документации: заводских паспортов на оборудование, инструкций завода-изготовителя по ремонту, техническому обслуживанию, эксплуатации и монтажу оборудования, технологических монтажных схем;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требования к запорно-регулирующей арматуре (ЗРА) и площадкам обслуживания;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рекомендации по диагностике и способам защиты оборудования от внутренней коррозии;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аналоги, рекомендуемые Заказчиком;</w:t>
      </w:r>
    </w:p>
    <w:p>
      <w:pPr>
        <w:tabs>
          <w:tab w:val="left" w:pos="426"/>
          <w:tab w:val="left" w:pos="567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требование о необходимости резервирования оборудования;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о необходимости запаса реагентов, расходных материалов и ЗИП;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эксплуатационным показателям, по необходимости очистки, диагностики, обслуживанию;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контролю и управлению технологическим процессам;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безопасности при нештатных технологических и аварийных ситуациях;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применению теплоизоляционных, шумоизоляционных и др. материалов, обеспечивающих высокие технологические и эксплуатационные показатели объекта.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о необходимости утилизации побочных продуктов и отходов технологических процессов;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минимизации удельных эксплуатационных затрат (вода, тепло, электроэнергия, материалы);</w:t>
      </w:r>
    </w:p>
    <w:p>
      <w:pPr>
        <w:pStyle w:val="244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Другие требования.</w:t>
      </w:r>
    </w:p>
    <w:p>
      <w:pPr>
        <w:pStyle w:val="244"/>
        <w:tabs>
          <w:tab w:val="left" w:pos="567"/>
          <w:tab w:val="left" w:pos="851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Применяемые решения должны базироваться на мировом опыте эксплуатации объектов строительства в различных гидрометеорологических условиях и предусматривать использование как апробированных, так и новых решений, обеспечивающих надежную эксплуатацию сооружений при минимальной численности обслуживающего персонала с учетом современного уровня автоматизации, мониторинга и управления технологическими и производственными объектами на базе информационных систем и связи.</w:t>
      </w:r>
    </w:p>
    <w:p>
      <w:pPr>
        <w:pStyle w:val="244"/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Технические решения представить комплексом технологических, технических и организационных мероприятий, направленных, в первую очередь, на повышение эксплуатационной надежности, противопожарной и экологической безопасности систем наземного обустройства, соблюдение требований энергетической эффективности и оснащенности проектируемых объектов приборами учета используемых энергетических ресурсов.</w:t>
      </w:r>
    </w:p>
    <w:p>
      <w:pPr>
        <w:pStyle w:val="244"/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Применяемые решения должны предусматривать применение современных технологий и оборудования, отвечающих требованиям действующих нормативных документов и обеспечивающих минимальные технологические потери и нанесение минимального ущерба окружающей среде.</w:t>
      </w:r>
    </w:p>
    <w:p>
      <w:pPr>
        <w:pStyle w:val="244"/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</w:p>
    <w:p>
      <w:pPr>
        <w:pStyle w:val="3"/>
        <w:numPr>
          <w:ilvl w:val="1"/>
          <w:numId w:val="1"/>
        </w:numPr>
        <w:rPr>
          <w:rFonts w:hint="default" w:ascii="Times New Roman" w:hAnsi="Times New Roman" w:cs="Times New Roman"/>
          <w:sz w:val="22"/>
          <w:szCs w:val="22"/>
        </w:rPr>
      </w:pPr>
      <w:bookmarkStart w:id="5" w:name="_Toc519518557"/>
      <w:r>
        <w:rPr>
          <w:rFonts w:hint="default" w:ascii="Times New Roman" w:hAnsi="Times New Roman" w:cs="Times New Roman"/>
          <w:sz w:val="22"/>
          <w:szCs w:val="22"/>
        </w:rPr>
        <w:t>Система электроснабжения</w:t>
      </w:r>
      <w:bookmarkEnd w:id="5"/>
    </w:p>
    <w:p>
      <w:pPr>
        <w:pStyle w:val="244"/>
        <w:tabs>
          <w:tab w:val="left" w:pos="567"/>
        </w:tabs>
        <w:spacing w:after="80" w:line="360" w:lineRule="auto"/>
        <w:ind w:left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для системы электроснабжения:</w:t>
      </w:r>
    </w:p>
    <w:p>
      <w:pPr>
        <w:pStyle w:val="244"/>
        <w:numPr>
          <w:ilvl w:val="0"/>
          <w:numId w:val="13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Электротехническую часть проекта выполнить в соответствии с действующими нормативными документами РФ.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Изложить требования по категорированию систем и электро-приемников;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Изложить требования по внешним подключениям, отразить сети действующего предприятия;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iCs/>
          <w:sz w:val="22"/>
          <w:szCs w:val="22"/>
        </w:rPr>
        <w:t>Предусмотреть требования по соблюдению технических условий уполномоченной региональной энергоснабжающей организации;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Необходимость дополнительного обследования сетей действующего предприятия;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о необходимости реконструкции, расширения, перевооружения, резервирования мощностей действующих сетей и источников электроснабжения,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применению оборудования, включая применение унифицированных решений по аналогу: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типу подстанций 35/6 кВ и распределительных устройств РУ 6кВ;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типу ячеек подстанционных и технологических РУ;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 типу высоковольтных выключателей; 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системам защит и автоматики;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способу организации оперативного тока, предполагаемому типу КТП 6/0,4 кВ, распределительных щитов 0,4 кВ;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системам освещения, заземления, уравнивания потенциалов и молниезащиты;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предполагаемому типу аварийных дизельных электростанций (ДЭС);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предполагаемому типу опор ВЛ.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Требования по учету электроэнергии; 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энергосбережению;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утилизации тепловой энергии;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сетям переменного и постоянного тока;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источникам бесперебойного питания (ИБП);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Другие требования.</w:t>
      </w:r>
    </w:p>
    <w:p>
      <w:pPr>
        <w:pStyle w:val="244"/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Предусмотренные в электротехнической части проекта решения по уменьшению физических объемов потребления энергоресурсов должны являться составной частью общего комплекса мероприятий по энергоснабжению, предусмотренных в проекте, в соответствии с требованиями Закона РФ №28-ФЗ от 03.04.1996 г. «Об энергосбережении».</w:t>
      </w:r>
    </w:p>
    <w:p>
      <w:pPr>
        <w:pStyle w:val="3"/>
        <w:numPr>
          <w:ilvl w:val="1"/>
          <w:numId w:val="1"/>
        </w:numPr>
        <w:rPr>
          <w:rFonts w:hint="default" w:ascii="Times New Roman" w:hAnsi="Times New Roman" w:cs="Times New Roman"/>
          <w:sz w:val="22"/>
          <w:szCs w:val="22"/>
        </w:rPr>
      </w:pPr>
      <w:bookmarkStart w:id="6" w:name="_Toc519518558"/>
      <w:r>
        <w:rPr>
          <w:rFonts w:hint="default" w:ascii="Times New Roman" w:hAnsi="Times New Roman" w:cs="Times New Roman"/>
          <w:sz w:val="22"/>
          <w:szCs w:val="22"/>
        </w:rPr>
        <w:t>Система автоматизированного управления, включая программно-техническое обеспечение</w:t>
      </w:r>
      <w:bookmarkEnd w:id="6"/>
    </w:p>
    <w:p>
      <w:pPr>
        <w:pStyle w:val="244"/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Требования к АСУ выполнить отдельным приложением по форме ТТ на создание АСУ ТП в соответствии с действующими в Компании локально-нормативными документами в области создания АСУ ТП. </w:t>
      </w:r>
    </w:p>
    <w:p>
      <w:pPr>
        <w:pStyle w:val="244"/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В ТТ учесть: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системе по типу управления (автоматическому, дистанционному с верхнего уровня, местному ручному, комбинированному);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размещению оборудования КИПиА; накоплению, обработке и выводу информации; размещению вторичных приборов, шкафов контроля и управления, автоматизированных рабочих мест (АРМ);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исполнению полевого оборудования КИПиА (влаго-, вибро- и химостойкость, климатическое исполнение и т.п);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составам программно-технических комплексов (ПТК);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подсистеме передачи технологической информации на верхний уровень АСУ ТП;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системам автоматизации в части обеспечения автоматического контроля, поддержания и регулирования технологических параметров, режимов работы оборудования, реализации функций безопасности, диагностики работоспособности систем автоматизации;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требование о многоуровневой АСУТП и территориально-распределенном структурировании, включая подсистемы: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АСУ основным технологическим оборудованием;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систему телемеханизации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удалённых</w:t>
      </w:r>
      <w:r>
        <w:rPr>
          <w:rFonts w:hint="default" w:ascii="Times New Roman" w:hAnsi="Times New Roman" w:cs="Times New Roman"/>
          <w:sz w:val="22"/>
          <w:szCs w:val="22"/>
        </w:rPr>
        <w:t xml:space="preserve"> и линейных объектов;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систему противоаварийной защиты (ПАЗ), выделенную в составе АСУ ТП в отдельную подсистему;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требование о необходимости создания ИУС производственно-технологического комплекса;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требование о необходимости создания и выделения из АСУ ТП аппаратно- выделенной подсистемы АСУЭ для оперативного управления объектами (электроснабжение, теплоснабжение, водоснабжение и канализация);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о необходимости управление технологическими объектами и системами из единого пункта управления с постоянным присутствием оперативного персонала, без постоянного присутствия персонала;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необходимость организации резервного пункта управления;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предусмотреть максимально комплектно-блочное изготовление технологического оборудования со средствами КИПиА и системами автоматического управления. Сведения о комплектно-поставляемых средствах автоматизации привести в проекте; 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о необходимости сопряжения проектируемой АСУ ТП с комплектно поставляемым с оборудованием средствами</w:t>
      </w:r>
      <w:r>
        <w:rPr>
          <w:rFonts w:hint="default" w:ascii="Times New Roman" w:hAnsi="Times New Roman" w:cs="Times New Roman"/>
          <w:sz w:val="22"/>
          <w:szCs w:val="22"/>
        </w:rPr>
        <w:t xml:space="preserve"> автоматизации по открытым протоколам связи;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об учете в проектных решениях по системам автоматизации учета поэтапного строительства объекта и возможности расширения систем при последующих очередях строительства;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решения по размещению средств в операторных должны приниматься, исходя из плана поэтапного ввода системы в эксплуатацию (максимального проектного количества технических средств) и резервного задела для дальнейшей модернизации;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предусмотреть применение средств КИПиА, обеспечивающих возможность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удалённой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диагностики и сигнализации;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для АСУ ТП и АСУЭ предусмотреть систему единого времени с получением сигналов точного времени от приемника GPS/ГЛОНАСС;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регламенту разработки АСУ ТП;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по конфигурированию и эксплуатации программно-технических средств;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требование по интеграции проектируемой АСУ ТП в действующие ИУС; </w:t>
      </w:r>
    </w:p>
    <w:p>
      <w:pPr>
        <w:pStyle w:val="244"/>
        <w:numPr>
          <w:ilvl w:val="0"/>
          <w:numId w:val="14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другие требования.</w:t>
      </w:r>
    </w:p>
    <w:p>
      <w:pPr>
        <w:pStyle w:val="3"/>
        <w:numPr>
          <w:ilvl w:val="1"/>
          <w:numId w:val="1"/>
        </w:numPr>
        <w:rPr>
          <w:rFonts w:hint="default" w:ascii="Times New Roman" w:hAnsi="Times New Roman" w:eastAsia="Calibri" w:cs="Times New Roman"/>
          <w:sz w:val="22"/>
          <w:szCs w:val="22"/>
          <w:lang w:eastAsia="en-US"/>
        </w:rPr>
      </w:pPr>
      <w:bookmarkStart w:id="7" w:name="_Toc519518560"/>
      <w:r>
        <w:rPr>
          <w:rFonts w:hint="default" w:ascii="Times New Roman" w:hAnsi="Times New Roman" w:eastAsia="Calibri" w:cs="Times New Roman"/>
          <w:sz w:val="22"/>
          <w:szCs w:val="22"/>
          <w:lang w:eastAsia="en-US"/>
        </w:rPr>
        <w:t>Автоматика пожаротушения и пожарной сигнализации</w:t>
      </w:r>
      <w:bookmarkEnd w:id="7"/>
    </w:p>
    <w:p>
      <w:pPr>
        <w:tabs>
          <w:tab w:val="left" w:pos="1134"/>
        </w:tabs>
        <w:spacing w:line="360" w:lineRule="auto"/>
        <w:ind w:firstLine="567"/>
        <w:contextualSpacing/>
        <w:rPr>
          <w:rFonts w:hint="default" w:ascii="Times New Roman" w:hAnsi="Times New Roman" w:eastAsia="Calibri" w:cs="Times New Roman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sz w:val="22"/>
          <w:szCs w:val="22"/>
          <w:lang w:eastAsia="en-US"/>
        </w:rPr>
        <w:t>К автоматике пожаротушения и пожарной сигнализации в составе автоматических установок пожаротушения (АУПТ), автоматических установок пожарной сигнализации (АУПС), подсистемы оповещения и управления эвакуацией людей при пожаре (СОУЭ) предъявляются следующие требования:</w:t>
      </w:r>
    </w:p>
    <w:p>
      <w:pPr>
        <w:tabs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Подсистемы АУПС, АУПТ и СОУЭ должны быть организованы и проектироваться как распределенные подсистемы управления с единым центральным постом управления, размещаемом в помещении диспетчерского пункта и оснащенным АРМ операторов, и включать составные подсистемы основных и вспомогательных технологических объектов;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Функционально и структурно подсистемы АУПС, АУПТ и СОУЭ должны быть независимы от остальных подсистем АСУ;</w:t>
      </w:r>
    </w:p>
    <w:p>
      <w:pPr>
        <w:pStyle w:val="369"/>
        <w:numPr>
          <w:ilvl w:val="0"/>
          <w:numId w:val="0"/>
        </w:numPr>
        <w:tabs>
          <w:tab w:val="left" w:pos="1134"/>
        </w:tabs>
        <w:spacing w:line="360" w:lineRule="auto"/>
        <w:ind w:left="567" w:firstLine="0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Все технические средства АУПС, АУПТ и СОУЭ должны иметь сертификаты соответствия требованиям </w:t>
      </w:r>
      <w:r>
        <w:rPr>
          <w:rFonts w:hint="default" w:ascii="Times New Roman" w:hAnsi="Times New Roman" w:cs="Times New Roman"/>
          <w:sz w:val="22"/>
          <w:szCs w:val="22"/>
          <w:lang w:eastAsia="en-US"/>
        </w:rPr>
        <w:t>№123-ФЗ от 22.07.2008 г. Предоставить для обсуждения варианты подбора приборов и их количества, которые должны обеспечивать обнаружение пожара, формирование сигнала для включения СОУЭ, фиксирование информации и ведение протоколов, контроль шлейфов, световую индикацию, формирование сигнала на управление системами вентиляции и дымоудаления. Места размещения оборудования и коммуникаций подсистем должны проходить обязательное согласование с Заказчиком;</w:t>
      </w:r>
    </w:p>
    <w:p>
      <w:pPr>
        <w:tabs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Проект должен строиться на базе интегрированной системы охраны (ИСО) с использованием в качестве головного сетевого компьютера АРМ ИСО. Первичный сбор и обработка информации должны выполняться средствами программируемых логических контроллеров (ПЛК), установленных на объектах защиты, с последующей передачей информации на верхний уровень ИСО, включая АРМ операторов. Для организации каналов передачи данных с объектами должны использоваться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GSM</w:t>
      </w:r>
      <w:r>
        <w:rPr>
          <w:rFonts w:hint="default" w:ascii="Times New Roman" w:hAnsi="Times New Roman" w:cs="Times New Roman"/>
          <w:sz w:val="22"/>
          <w:szCs w:val="22"/>
        </w:rPr>
        <w:t>-модемы;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АРМ операторов верхнего уровня подсистем АУПС, АУПТ и СОУЭ могут интегрироваться с АРМ операторов АСУ ТП с обязательным требованием организации отдельного монитора для мнемосхем подсистем противопожарной автоматики и максимального приоритета сообщений и действий этих подсистем над всеми остальными сообщениями и действиями;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Состав и функциональность устройств предоставления информации, панелей сигнализации и управления, а также выносных пультов определяются в соответствии с требованиями ГОСТ Р 50800-95, НПБ 75-98, ГОСТ 12.4.009-83 и ГОСТ 12.3.046-91. Срок службы при непрерывной круглосуточной работе 24/7 не менее 10 лет;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В СОУЭ должна быть обеспечена передача информации во все помещения с возможным присутствием персонала, включая помещения диспетчерских пунктов, и обеспечен контроль каналов передачи информации. Для удаленных объектов передача информации должна быть обеспечена на АРМ операторов ИСО по каналам сотовой связи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GSM</w:t>
      </w:r>
      <w:r>
        <w:rPr>
          <w:rFonts w:hint="default" w:ascii="Times New Roman" w:hAnsi="Times New Roman" w:cs="Times New Roman"/>
          <w:sz w:val="22"/>
          <w:szCs w:val="22"/>
        </w:rPr>
        <w:t xml:space="preserve">.  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Проектом должен быть обеспечен резерв оборудования АУПС, АУПТ и СОУЭ и тушащих средств согласно действующим нормативным документам по пожарной безопасности производственных объектов;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Для объектов с комплектно поставляемой системой автоматической пожарной сигнализации и пожаротушения предусмотреть унификацию технических средств в соответствии с оборудованием АУПС, АУПТ и СОУЭ остальных объектов и общесистемными требованиями; 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Предусмотреть интеграцию подсистем АУПС, АУПТ и СОУЭ с системами дымоудаления, вентиляции и системой контроля доступа на объектах;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АУПС должна обеспечивать </w:t>
      </w:r>
      <w:r>
        <w:rPr>
          <w:rFonts w:hint="default" w:ascii="Times New Roman" w:hAnsi="Times New Roman" w:cs="Times New Roman"/>
          <w:sz w:val="22"/>
          <w:szCs w:val="22"/>
          <w:lang w:eastAsia="ru-RU"/>
        </w:rPr>
        <w:t>обнаружение возгорания на ранних стадиях</w:t>
      </w:r>
      <w:r>
        <w:rPr>
          <w:rFonts w:hint="default" w:ascii="Times New Roman" w:hAnsi="Times New Roman" w:cs="Times New Roman"/>
          <w:sz w:val="22"/>
          <w:szCs w:val="22"/>
        </w:rPr>
        <w:t xml:space="preserve">; АУПТ начать автоматическое устранение возгорания с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учётом</w:t>
      </w:r>
      <w:r>
        <w:rPr>
          <w:rFonts w:hint="default" w:ascii="Times New Roman" w:hAnsi="Times New Roman" w:cs="Times New Roman"/>
          <w:sz w:val="22"/>
          <w:szCs w:val="22"/>
        </w:rPr>
        <w:t xml:space="preserve"> обеспечения эвакуации персонала объектов; СОУЭ произвести незамедлительное оповещение персонала о возгорании на объектах и обеспечить эвакуацию персонала из помещений объектов;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Объем параметров контроля и управления и объем обмена информацией с АСУ ТП определяются при разработке рабочей документации на АСПС, АСПТ и СОУЭ с учетом требований действующих нормативных документов;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Требования к условиям пожаротушения в случае аварийной ситуации – данные о количестве пожарных автомобилей, численности персонала пожарных депо (постов) в соответствии с требованиями действующих нормативных актов;</w:t>
      </w:r>
    </w:p>
    <w:p>
      <w:pPr>
        <w:tabs>
          <w:tab w:val="left" w:pos="567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Другие требования.</w:t>
      </w:r>
    </w:p>
    <w:p>
      <w:pPr>
        <w:pStyle w:val="244"/>
        <w:tabs>
          <w:tab w:val="left" w:pos="1134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требованиях к АУПТ должны быть указаны:</w:t>
      </w:r>
    </w:p>
    <w:p>
      <w:pPr>
        <w:tabs>
          <w:tab w:val="left" w:pos="426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способ тушения и тип огнетушащего вещества (веществ);</w:t>
      </w:r>
    </w:p>
    <w:p>
      <w:pPr>
        <w:tabs>
          <w:tab w:val="left" w:pos="426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режимы работы установок пожаротушения;</w:t>
      </w:r>
    </w:p>
    <w:p>
      <w:pPr>
        <w:tabs>
          <w:tab w:val="left" w:pos="426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требования по составу АУПТ (в соответствии с действующими нормативными документами);</w:t>
      </w:r>
    </w:p>
    <w:p>
      <w:pPr>
        <w:tabs>
          <w:tab w:val="left" w:pos="426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технические характеристики оборудования АУПТ, инерционность подсистемы с указанием времени выхода на номинальный режим, параметры пуска.</w:t>
      </w:r>
    </w:p>
    <w:p>
      <w:pPr>
        <w:tabs>
          <w:tab w:val="left" w:pos="1134"/>
        </w:tabs>
        <w:spacing w:after="80" w:line="360" w:lineRule="auto"/>
        <w:ind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требованиях к АУПС должны быть указаны:</w:t>
      </w:r>
    </w:p>
    <w:p>
      <w:pPr>
        <w:tabs>
          <w:tab w:val="left" w:pos="426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требование по обеспечению выполнения всех своих штатных функций (по обнаружению возгорания; сигнализации; формированию и передаче команд в системы управления оповещением, пожаротушением, инженерным и технологическим оборудованием; по контролю состояния цепей сигнализации и т. д.) в соответствии с требованиями п. 9.1.1 НПБ 75-98;</w:t>
      </w:r>
    </w:p>
    <w:p>
      <w:pPr>
        <w:tabs>
          <w:tab w:val="left" w:pos="426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параметры, устройство, состав, размещение и использование технических средств, выбор проводов и кабелей, определение способов их прокладки, определяемые при выполнении проектной документации с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учётом</w:t>
      </w:r>
      <w:r>
        <w:rPr>
          <w:rFonts w:hint="default" w:ascii="Times New Roman" w:hAnsi="Times New Roman" w:cs="Times New Roman"/>
          <w:sz w:val="22"/>
          <w:szCs w:val="22"/>
        </w:rPr>
        <w:t xml:space="preserve"> СП 5.13130.2009,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Приказа МЧС России от 21.02.2013 № 115 «Об утверждении свода правил СП 6.13130 "Системы противопожарной защиты. Электрооборудование. Требования пожарной безопасности"», Приказа Росстандарта от 22.11.2012 № 1097-ст «О введении в действие межгосударственного стандарта»</w:t>
      </w:r>
      <w:r>
        <w:rPr>
          <w:rFonts w:hint="default" w:ascii="Times New Roman" w:hAnsi="Times New Roman" w:cs="Times New Roman"/>
          <w:sz w:val="22"/>
          <w:szCs w:val="22"/>
        </w:rPr>
        <w:t>, Правил устройства электроустановок (ПУЭ) и условий эксплуатации по контролируемым объектам (категорий, классов зон, температурных и электромагнитных полей и т.д.);</w:t>
      </w:r>
    </w:p>
    <w:p>
      <w:pPr>
        <w:tabs>
          <w:tab w:val="left" w:pos="1134"/>
        </w:tabs>
        <w:spacing w:after="80" w:line="360" w:lineRule="auto"/>
        <w:ind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требованиях к СОУЭ должны быть указаны:</w:t>
      </w:r>
    </w:p>
    <w:p>
      <w:pPr>
        <w:tabs>
          <w:tab w:val="left" w:pos="426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Требование обеспечения своевременного информирования о возникновении возгорания и необходимости эвакуации персонала объектов из аварийных зон;</w:t>
      </w:r>
    </w:p>
    <w:p>
      <w:pPr>
        <w:tabs>
          <w:tab w:val="left" w:pos="426"/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Тип, устройство, состав, размещение и исполнение технических средств СОУЭ, линий связи, управления и требования к их прокладке, определяемые при выполнении проектной документации в соответствии с требованиями СП 3.13130.2009 и учетом условий эксплуатации по контролируемым объектам.</w:t>
      </w:r>
    </w:p>
    <w:p>
      <w:pPr>
        <w:pStyle w:val="3"/>
        <w:numPr>
          <w:ilvl w:val="1"/>
          <w:numId w:val="1"/>
        </w:numPr>
        <w:rPr>
          <w:rFonts w:hint="default" w:ascii="Times New Roman" w:hAnsi="Times New Roman" w:cs="Times New Roman"/>
          <w:sz w:val="22"/>
          <w:szCs w:val="22"/>
        </w:rPr>
      </w:pPr>
      <w:bookmarkStart w:id="8" w:name="_Toc519518563"/>
      <w:r>
        <w:rPr>
          <w:rFonts w:hint="default" w:ascii="Times New Roman" w:hAnsi="Times New Roman" w:cs="Times New Roman"/>
          <w:sz w:val="22"/>
          <w:szCs w:val="22"/>
        </w:rPr>
        <w:t>Система вентиляции</w:t>
      </w:r>
      <w:bookmarkEnd w:id="8"/>
    </w:p>
    <w:p>
      <w:pPr>
        <w:spacing w:line="360" w:lineRule="auto"/>
        <w:ind w:firstLine="567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Для системы вентиляции должны быть указаны следующие требования:</w:t>
      </w:r>
    </w:p>
    <w:p>
      <w:pPr>
        <w:pStyle w:val="244"/>
        <w:numPr>
          <w:ilvl w:val="0"/>
          <w:numId w:val="15"/>
        </w:numPr>
        <w:spacing w:line="360" w:lineRule="auto"/>
        <w:ind w:left="0" w:firstLine="567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соответствии с постановлением правительства РФ №87 от 16.02.2008г. проектная документация должна содержать следующие разделы:</w:t>
      </w:r>
    </w:p>
    <w:p>
      <w:pPr>
        <w:pStyle w:val="244"/>
        <w:numPr>
          <w:ilvl w:val="0"/>
          <w:numId w:val="16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Пояснительная записка;</w:t>
      </w:r>
    </w:p>
    <w:p>
      <w:pPr>
        <w:pStyle w:val="244"/>
        <w:numPr>
          <w:ilvl w:val="0"/>
          <w:numId w:val="16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Архитектурные решения в части систем вентиляции;</w:t>
      </w:r>
    </w:p>
    <w:p>
      <w:pPr>
        <w:pStyle w:val="244"/>
        <w:numPr>
          <w:ilvl w:val="0"/>
          <w:numId w:val="16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Технологические и конструктивные решения:</w:t>
      </w:r>
    </w:p>
    <w:p>
      <w:pPr>
        <w:pStyle w:val="244"/>
        <w:numPr>
          <w:ilvl w:val="0"/>
          <w:numId w:val="17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подраздел «Отопление и вентиляция»;</w:t>
      </w:r>
    </w:p>
    <w:p>
      <w:pPr>
        <w:pStyle w:val="244"/>
        <w:numPr>
          <w:ilvl w:val="0"/>
          <w:numId w:val="17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подраздел «Автоматизация систем вентиляции»;</w:t>
      </w:r>
    </w:p>
    <w:p>
      <w:pPr>
        <w:pStyle w:val="244"/>
        <w:numPr>
          <w:ilvl w:val="0"/>
          <w:numId w:val="17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подраздел «Система электроснабжения вентиляционного оборудования»;</w:t>
      </w:r>
    </w:p>
    <w:p>
      <w:pPr>
        <w:pStyle w:val="244"/>
        <w:numPr>
          <w:ilvl w:val="0"/>
          <w:numId w:val="16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Проект организации работ в части систем вентиляции;</w:t>
      </w:r>
    </w:p>
    <w:p>
      <w:pPr>
        <w:pStyle w:val="244"/>
        <w:numPr>
          <w:ilvl w:val="0"/>
          <w:numId w:val="16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Мероприятия по обеспечению пожарной безопасности в системах вентиляции;</w:t>
      </w:r>
    </w:p>
    <w:p>
      <w:pPr>
        <w:pStyle w:val="244"/>
        <w:numPr>
          <w:ilvl w:val="0"/>
          <w:numId w:val="16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Сметная документация;</w:t>
      </w:r>
    </w:p>
    <w:p>
      <w:pPr>
        <w:pStyle w:val="244"/>
        <w:numPr>
          <w:ilvl w:val="0"/>
          <w:numId w:val="15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Расчётные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параметры для проектирования раздела ОВ принять согласно СП 131.13330.2012 «Строительная климатология. Актуализированная редакция СНиП 23-01-99»;</w:t>
      </w:r>
    </w:p>
    <w:p>
      <w:pPr>
        <w:pStyle w:val="244"/>
        <w:numPr>
          <w:ilvl w:val="0"/>
          <w:numId w:val="15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Обеспечить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допустимые и оптимальные нормы микроклиматических параметров на рабочих местах и содержание вредных веществ в воздухе рабочей зоны не выше допустимых ПДК согласно ГОСТ 12.1.005-88 «Общие санитарно-гигиенические требования к воздуху рабочей зоны»;   </w:t>
      </w:r>
    </w:p>
    <w:p>
      <w:pPr>
        <w:pStyle w:val="244"/>
        <w:numPr>
          <w:ilvl w:val="0"/>
          <w:numId w:val="15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При выборе материала воздуховодов и вентиляционного оборудования учесть коррозионную активность воздушной среды, при необходимости применить полимерные материалы или коррозионностойкую нержавеющую сталь;</w:t>
      </w:r>
    </w:p>
    <w:p>
      <w:pPr>
        <w:pStyle w:val="244"/>
        <w:numPr>
          <w:ilvl w:val="0"/>
          <w:numId w:val="15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При проектировании воздуховодов и вентиляционного оборудования учесть требования по минимизации шума и вибрационных воздействий (антивибрационные вставки, демпферы, прокладки и т.п.);</w:t>
      </w:r>
    </w:p>
    <w:p>
      <w:pPr>
        <w:pStyle w:val="244"/>
        <w:numPr>
          <w:ilvl w:val="0"/>
          <w:numId w:val="15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При проектировании обеспечить выполнение требований пожарной безопасности, в том числе предусмотреть огнезадерживающие клапана, воздуховоды с требуемым пределом огнестойкости, автоматическое отключение и блокировку вентиляционных систем при пожаре и т.п.;</w:t>
      </w:r>
    </w:p>
    <w:p>
      <w:pPr>
        <w:pStyle w:val="244"/>
        <w:numPr>
          <w:ilvl w:val="0"/>
          <w:numId w:val="15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АСУ вентиляционной системы, которая должна обеспечивать следующие параметры: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ручной и автоматический режимы режимы работы вентиляционных подсистем;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контроль и поддержание заданных параметров приточного воздуха (температура, влажность, пылесодержание, газовый состав и др.);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контроль и поддержание заданных параметров теплоносителя;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светозвуковая сигнализация текущего состояния вентиляционных систем;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защиту от замораживания контура теплоносителя;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интеграцию с АУПС, АУПТ объектов;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летний и зимний режимы работы вентиляционных подсистем.</w:t>
      </w:r>
    </w:p>
    <w:p>
      <w:pPr>
        <w:pStyle w:val="244"/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Проектную документацию выполнить в соответствии с ГОСТ 21.602-2016 «Правила выполнения рабочей документации отопления, вентиляции и кондиционирования».</w:t>
      </w:r>
    </w:p>
    <w:p>
      <w:pPr>
        <w:pStyle w:val="3"/>
        <w:rPr>
          <w:rFonts w:hint="default" w:ascii="Times New Roman" w:hAnsi="Times New Roman" w:cs="Times New Roman"/>
          <w:sz w:val="22"/>
          <w:szCs w:val="22"/>
        </w:rPr>
      </w:pPr>
      <w:bookmarkStart w:id="9" w:name="_Toc519518567"/>
      <w:r>
        <w:rPr>
          <w:rFonts w:hint="default" w:ascii="Times New Roman" w:hAnsi="Times New Roman" w:cs="Times New Roman"/>
          <w:sz w:val="22"/>
          <w:szCs w:val="22"/>
        </w:rPr>
        <w:t>Требования к разработке сметной документации</w:t>
      </w:r>
      <w:bookmarkEnd w:id="9"/>
    </w:p>
    <w:p>
      <w:pPr>
        <w:spacing w:line="360" w:lineRule="auto"/>
        <w:ind w:firstLine="567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разработке сметной документации должны применяться следующие требования:</w:t>
      </w:r>
    </w:p>
    <w:p>
      <w:pPr>
        <w:pStyle w:val="244"/>
        <w:numPr>
          <w:ilvl w:val="0"/>
          <w:numId w:val="18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Сметная документация разрабатывается в соответствии с требованиями данных рекомендаций, с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учётом</w:t>
      </w:r>
      <w:r>
        <w:rPr>
          <w:rFonts w:hint="default" w:ascii="Times New Roman" w:hAnsi="Times New Roman" w:cs="Times New Roman"/>
          <w:sz w:val="22"/>
          <w:szCs w:val="22"/>
        </w:rPr>
        <w:t xml:space="preserve"> действующих на момент разработки изменений и дополнений, а также регламентирующих документов и писем Минрегиона России и корпоративных требований Компании по определению отдельных видов работ и затрат в сметной документации; </w:t>
      </w:r>
    </w:p>
    <w:p>
      <w:pPr>
        <w:pStyle w:val="244"/>
        <w:numPr>
          <w:ilvl w:val="0"/>
          <w:numId w:val="18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Состав и объем сметной документации, должен быть достаточным для проведения всех необходимых согласований контролирующих организаций и городских служб;</w:t>
      </w:r>
    </w:p>
    <w:p>
      <w:pPr>
        <w:pStyle w:val="244"/>
        <w:numPr>
          <w:ilvl w:val="0"/>
          <w:numId w:val="18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Наименования объектов и относящихся к ним объектных смет указывается в соответствии с наименованием в экспликации генплана (генпланов) проекта.</w:t>
      </w:r>
    </w:p>
    <w:p>
      <w:pPr>
        <w:pStyle w:val="244"/>
        <w:numPr>
          <w:ilvl w:val="0"/>
          <w:numId w:val="18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Уровень фонда оплаты труда и стоимость эксплуатации машин и механизмов определяются в соответствии с действующими рекомендациями Компании;</w:t>
      </w:r>
    </w:p>
    <w:p>
      <w:pPr>
        <w:pStyle w:val="244"/>
        <w:numPr>
          <w:ilvl w:val="0"/>
          <w:numId w:val="18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В состав сводного сметного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расчёта</w:t>
      </w:r>
      <w:r>
        <w:rPr>
          <w:rFonts w:hint="default" w:ascii="Times New Roman" w:hAnsi="Times New Roman" w:cs="Times New Roman"/>
          <w:sz w:val="22"/>
          <w:szCs w:val="22"/>
        </w:rPr>
        <w:t xml:space="preserve"> в обязательном порядке включаются: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пояснительная записка;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таблица с удельными показателями единичной стоимости объектов строительства;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обосновывающие документы, подтверждающие стоимость прочих работ и затрат;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сводная укрупненная выборка ресурсов;</w:t>
      </w:r>
    </w:p>
    <w:p>
      <w:pPr>
        <w:pStyle w:val="244"/>
        <w:numPr>
          <w:ilvl w:val="3"/>
          <w:numId w:val="19"/>
        </w:numPr>
        <w:tabs>
          <w:tab w:val="clear" w:pos="3960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состав раздела «Обосновывающие материалы» должны быть включены: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Расчёт</w:t>
      </w:r>
      <w:r>
        <w:rPr>
          <w:rFonts w:hint="default" w:ascii="Times New Roman" w:hAnsi="Times New Roman" w:cs="Times New Roman"/>
          <w:sz w:val="22"/>
          <w:szCs w:val="22"/>
        </w:rPr>
        <w:t xml:space="preserve"> и калькуляции транспортных расходов и сметной стоимости оборудования и материалов согласно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утверждённой</w:t>
      </w:r>
      <w:r>
        <w:rPr>
          <w:rFonts w:hint="default" w:ascii="Times New Roman" w:hAnsi="Times New Roman" w:cs="Times New Roman"/>
          <w:sz w:val="22"/>
          <w:szCs w:val="22"/>
        </w:rPr>
        <w:t xml:space="preserve"> транспортной схеме;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расчёт</w:t>
      </w:r>
      <w:r>
        <w:rPr>
          <w:rFonts w:hint="default" w:ascii="Times New Roman" w:hAnsi="Times New Roman" w:cs="Times New Roman"/>
          <w:sz w:val="22"/>
          <w:szCs w:val="22"/>
        </w:rPr>
        <w:t xml:space="preserve"> часовых ставок оплаты труда и стоимости эксплуатации машин и механизмов;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расчёт</w:t>
      </w:r>
      <w:r>
        <w:rPr>
          <w:rFonts w:hint="default" w:ascii="Times New Roman" w:hAnsi="Times New Roman" w:cs="Times New Roman"/>
          <w:sz w:val="22"/>
          <w:szCs w:val="22"/>
        </w:rPr>
        <w:t xml:space="preserve"> индексов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пересчёта</w:t>
      </w:r>
      <w:r>
        <w:rPr>
          <w:rFonts w:hint="default" w:ascii="Times New Roman" w:hAnsi="Times New Roman" w:cs="Times New Roman"/>
          <w:sz w:val="22"/>
          <w:szCs w:val="22"/>
        </w:rPr>
        <w:t xml:space="preserve"> от базового уровня цен базисного района строительства к текущему уровню цен фактического района строительства;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обосновывающие материалы отпускных цен на материально технический ресурс и оборудование по опросным листам, протоколам согласования цен заводов-поставщиков, другие необходимые материалы по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включённым</w:t>
      </w:r>
      <w:r>
        <w:rPr>
          <w:rFonts w:hint="default" w:ascii="Times New Roman" w:hAnsi="Times New Roman" w:cs="Times New Roman"/>
          <w:sz w:val="22"/>
          <w:szCs w:val="22"/>
        </w:rPr>
        <w:t xml:space="preserve"> в сметную документацию затратам.</w:t>
      </w:r>
    </w:p>
    <w:p>
      <w:pPr>
        <w:pStyle w:val="244"/>
        <w:numPr>
          <w:ilvl w:val="3"/>
          <w:numId w:val="19"/>
        </w:numPr>
        <w:tabs>
          <w:tab w:val="left" w:pos="567"/>
          <w:tab w:val="clear" w:pos="3960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Для объектов линейных по ПП, ИП и объектам технологических присоединений (простой тариф)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расчёт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выполняется следующим образом:</w:t>
      </w:r>
    </w:p>
    <w:p>
      <w:pPr>
        <w:spacing w:after="20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Для периода до ввода федеральной государственной информационной системы ценообразования в строительстве (ФГИС ЦС) при разработке сметной документации применять сметные нормативы,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внесённые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в федеральный реестр сметных нормативов базисно-индексным методом; ЛСР на работы по восстановлению благоустройства формировать с разницей в стоимости материальных ресурсов по всей номенклатуре;</w:t>
      </w:r>
    </w:p>
    <w:p>
      <w:pPr>
        <w:spacing w:after="20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Сметную документацию формировать с применением индексов по элементам структуры прямых затрат (ФОТ, эксплуатация машин); с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учётом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особенностей региона; с привлечением средств государственного бюджета всех уровней по видам строительства;</w:t>
      </w:r>
    </w:p>
    <w:p>
      <w:pPr>
        <w:spacing w:after="20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Стоимость материальных ресурсов и оборудования, которые отсутствуют в сметно-нормативной базе, включать по коммерческими предложениями и прайсам с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учётом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доставки их в регион.  В стоимость оборудования должны войти затраты по шеф-монтажным и шеф-наладочным работам, при необходимости включена стоимость ЗИП, обеспечивающих работу оборудования в период гарантийного срока эксплуатации. Стоимость материальных ресурсов в ЛСР по восстановлению благоустройства включать с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учётом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региона;</w:t>
      </w:r>
    </w:p>
    <w:p>
      <w:pPr>
        <w:pStyle w:val="244"/>
        <w:numPr>
          <w:ilvl w:val="0"/>
          <w:numId w:val="20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В </w:t>
      </w:r>
      <w:r>
        <w:rPr>
          <w:rFonts w:hint="default" w:ascii="Times New Roman" w:hAnsi="Times New Roman" w:cs="Times New Roman"/>
          <w:sz w:val="22"/>
          <w:szCs w:val="22"/>
        </w:rPr>
        <w:t>сводный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сметный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расчёт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(СР) включать следующие затраты: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Затраты на Авторский надзор;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Непредвиденные расходы в размере 2%;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Затраты</w:t>
      </w:r>
      <w:r>
        <w:rPr>
          <w:rFonts w:hint="default" w:ascii="Times New Roman" w:hAnsi="Times New Roman" w:cs="Times New Roman"/>
          <w:bCs/>
          <w:sz w:val="22"/>
          <w:szCs w:val="22"/>
        </w:rPr>
        <w:t>, связанные с уплатой налога на добавленную стоимость (НДС);</w:t>
      </w:r>
    </w:p>
    <w:p>
      <w:pPr>
        <w:pStyle w:val="244"/>
        <w:numPr>
          <w:ilvl w:val="0"/>
          <w:numId w:val="20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В </w:t>
      </w:r>
      <w:r>
        <w:rPr>
          <w:rFonts w:hint="default" w:ascii="Times New Roman" w:hAnsi="Times New Roman" w:cs="Times New Roman"/>
          <w:sz w:val="22"/>
          <w:szCs w:val="22"/>
        </w:rPr>
        <w:t>локальные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сметные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расчёты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(ЛСР) в итогах включать следующие затраты: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Коэффициенты, учитывающие условия производства работ, при наличии обоснования факторов в ПОС и ПЗ, согласно методических указаний,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внесённых</w:t>
      </w:r>
      <w:r>
        <w:rPr>
          <w:rFonts w:hint="default" w:ascii="Times New Roman" w:hAnsi="Times New Roman" w:cs="Times New Roman"/>
          <w:sz w:val="22"/>
          <w:szCs w:val="22"/>
        </w:rPr>
        <w:t xml:space="preserve"> в федеральный реестр сметных нормативов;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Коэффициенты к затратам на оплату труда персонала; затратам на эксплуатацию строительных машин и механизмов; затратам труда машинистов (по реконструкции объектов капитального строительства), при наличии обоснований в ПОС и ПЗ, согласно методических указаний,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внесённых</w:t>
      </w:r>
      <w:r>
        <w:rPr>
          <w:rFonts w:hint="default" w:ascii="Times New Roman" w:hAnsi="Times New Roman" w:cs="Times New Roman"/>
          <w:sz w:val="22"/>
          <w:szCs w:val="22"/>
        </w:rPr>
        <w:t xml:space="preserve"> в федеральный реестр сметных нормативов;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Понижающие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коэффициенты к нормам накладных расходов и сметной прибыли на основании Письма Министерства регионального развития РФ №2536-ИП/12/ГС от 27.11.2012 г.</w:t>
      </w:r>
    </w:p>
    <w:p>
      <w:pPr>
        <w:pStyle w:val="3"/>
        <w:rPr>
          <w:rFonts w:hint="default" w:ascii="Times New Roman" w:hAnsi="Times New Roman" w:cs="Times New Roman"/>
          <w:sz w:val="22"/>
          <w:szCs w:val="22"/>
        </w:rPr>
      </w:pPr>
      <w:bookmarkStart w:id="10" w:name="_Toc519518568"/>
      <w:r>
        <w:rPr>
          <w:rFonts w:hint="default" w:ascii="Times New Roman" w:hAnsi="Times New Roman" w:cs="Times New Roman"/>
          <w:sz w:val="22"/>
          <w:szCs w:val="22"/>
        </w:rPr>
        <w:t>Требования к природоохранным мероприятиям</w:t>
      </w:r>
      <w:bookmarkEnd w:id="10"/>
    </w:p>
    <w:p>
      <w:pPr>
        <w:spacing w:line="360" w:lineRule="auto"/>
        <w:ind w:firstLine="567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разработке природоохранных мероприятий должны предъявляться следующие требования: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Перечень мероприятий по охране окружающей среды должен соответствовать требованиям п.п. 25 и 40 </w:t>
      </w:r>
      <w:r>
        <w:rPr>
          <w:rFonts w:hint="default" w:ascii="Times New Roman" w:hAnsi="Times New Roman" w:cs="Times New Roman"/>
          <w:sz w:val="22"/>
          <w:szCs w:val="22"/>
        </w:rPr>
        <w:t>Постановления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Правительства РФ № 87 от 16.02.2008 г. «О составе разделов проектной документации и требованиях к их содержанию»;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Раздел проекта должен содержать результаты оценки воздействия объекта капитального строительства на окружающую среду 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Обоснование технических решений по охране окружающей среды должно сопровождаться расчетами эффективности применяемых природоохранных мероприятий;</w:t>
      </w:r>
    </w:p>
    <w:p>
      <w:pPr>
        <w:pStyle w:val="3"/>
        <w:rPr>
          <w:rFonts w:hint="default" w:ascii="Times New Roman" w:hAnsi="Times New Roman" w:cs="Times New Roman"/>
          <w:sz w:val="22"/>
          <w:szCs w:val="22"/>
        </w:rPr>
      </w:pPr>
      <w:bookmarkStart w:id="11" w:name="_Toc519518570"/>
      <w:r>
        <w:rPr>
          <w:rFonts w:hint="default" w:ascii="Times New Roman" w:hAnsi="Times New Roman" w:cs="Times New Roman"/>
          <w:sz w:val="22"/>
          <w:szCs w:val="22"/>
        </w:rPr>
        <w:t>Требования по вопросам охраны труда и промышленной безопасности</w:t>
      </w:r>
      <w:bookmarkEnd w:id="11"/>
    </w:p>
    <w:p>
      <w:pPr>
        <w:spacing w:after="80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sz w:val="22"/>
          <w:szCs w:val="22"/>
          <w:lang w:eastAsia="en-US"/>
        </w:rPr>
        <w:t>Раздел должен быть разработан в соответствии с требованиями законодательства Российской Федерации об охране труда, промышленной безопасности и о санитарно-эпидемиологическом благополучии населения, в том числе: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Трудовой кодекс Российской Федерации от 30.12.2001 г. № 197-ФЗ «Раздел X. Охрана труда»;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Федеральный закон «О промышленной безопасности опасных производственных объектов» от 21.07.1997 г. № 116-ФЗ;</w:t>
      </w:r>
    </w:p>
    <w:p>
      <w:pPr>
        <w:tabs>
          <w:tab w:val="left" w:pos="0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Федеральный закон «О санитарно-эпидемиологическом благополучии населения» от 30.03.1999 г. № 52-ФЗ;</w:t>
      </w:r>
    </w:p>
    <w:p>
      <w:pPr>
        <w:tabs>
          <w:tab w:val="left" w:pos="1134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СП 2.2.1.1312-03 «Гигиенические требования к проектированию вновь строящихся и реконструируемых промышленных предприятий».</w:t>
      </w:r>
    </w:p>
    <w:p>
      <w:pPr>
        <w:pStyle w:val="244"/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Технические решения по охране труда должны быть разработаны с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учётом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требований Постановления Правительства РФ от 16.02.08 г. № 87 «О составе разделов проектной документации и требованиях к их содержанию». </w:t>
      </w:r>
    </w:p>
    <w:p>
      <w:pPr>
        <w:pStyle w:val="244"/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должен содержать: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Сведения о расчетной численности работников; профессионально-квалификационном составе работников с распределением по группам производственных процессов; числе рабочих мест и их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оснащённости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– для объектов производственного назначения;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зданий), который должен включать следующие разделы: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принципиальные решения по организации труда и управления производством;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расчёт</w:t>
      </w:r>
      <w:r>
        <w:rPr>
          <w:rFonts w:hint="default" w:ascii="Times New Roman" w:hAnsi="Times New Roman" w:cs="Times New Roman"/>
          <w:sz w:val="22"/>
          <w:szCs w:val="22"/>
        </w:rPr>
        <w:t xml:space="preserve"> количества рабочих мест и численности работающих;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организацию и оснащение рабочих мест;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обслуживание рабочих мест;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прогрессивные формы организации труда;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режим труда и отдыха;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охрана и условия труда работников;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организация управления производством, предприятием;</w:t>
      </w:r>
    </w:p>
    <w:p>
      <w:pPr>
        <w:tabs>
          <w:tab w:val="left" w:pos="426"/>
        </w:tabs>
        <w:spacing w:after="80" w:line="360" w:lineRule="auto"/>
        <w:ind w:left="567" w:firstLine="0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источники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комплектования предприятия кадрами и повышение квалификации рабочих кадров.</w:t>
      </w:r>
    </w:p>
    <w:p>
      <w:pPr>
        <w:spacing w:after="80" w:line="360" w:lineRule="auto"/>
        <w:ind w:firstLine="567"/>
        <w:contextualSpacing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К разделу предъявляются следующие требования: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 также излагается в разделе «Проект организации строительства»;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Степень проработки и обоснования решений по охране труда должны быть достаточными для осуществления проверки их соответствия требованиям действующих нормативных документов, проведения проверочных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расчётов</w:t>
      </w:r>
      <w:r>
        <w:rPr>
          <w:rFonts w:hint="default" w:ascii="Times New Roman" w:hAnsi="Times New Roman" w:cs="Times New Roman"/>
          <w:sz w:val="22"/>
          <w:szCs w:val="22"/>
        </w:rPr>
        <w:t>, а также определения стоимости</w:t>
      </w:r>
      <w:r>
        <w:rPr>
          <w:rFonts w:hint="default" w:ascii="Times New Roman" w:hAnsi="Times New Roman" w:cs="Times New Roman"/>
          <w:iCs/>
          <w:sz w:val="22"/>
          <w:szCs w:val="22"/>
        </w:rPr>
        <w:t>;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Принятые технологии, оборудование, строительные решения, организация строительства и эксплуатации объекта должны соответствовать требованиям действующих нормам и правил охраны труда, промышленной и пожарной безопасности Российской Федерации;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Должны быть определены сроки безопасной эксплуатации проектируемых сооружений, применяемого оборудования и технических устройств в соответствии с законодательством, действующими законодательными, нормативными правовыми и локальными нормативными документами;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Представить решение по организации места проживания и доставке персонала к рабочим местам в период эксплуатации;</w:t>
      </w:r>
    </w:p>
    <w:p>
      <w:pPr>
        <w:pStyle w:val="244"/>
        <w:numPr>
          <w:ilvl w:val="0"/>
          <w:numId w:val="22"/>
        </w:numPr>
        <w:tabs>
          <w:tab w:val="left" w:pos="4320"/>
        </w:tabs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Разработать раздел «Мероприятия по обеспечению пожарной безопасности» в соответствии с требованиями Постановления Правительства РФ от 16.02.08 г. №87 «О составе разделов проектной документации и требованиях к их содержанию» с учетом требований Федерального закона от 22.07.2008г №123-ФЗ «Технический регламент о требованиях пожарной безопасности».</w:t>
      </w:r>
    </w:p>
    <w:p>
      <w:pPr>
        <w:pStyle w:val="3"/>
        <w:rPr>
          <w:rFonts w:hint="default" w:ascii="Times New Roman" w:hAnsi="Times New Roman" w:cs="Times New Roman"/>
          <w:sz w:val="22"/>
          <w:szCs w:val="22"/>
        </w:rPr>
      </w:pPr>
      <w:bookmarkStart w:id="12" w:name="_Toc519518571"/>
      <w:r>
        <w:rPr>
          <w:rFonts w:hint="default" w:ascii="Times New Roman" w:hAnsi="Times New Roman" w:cs="Times New Roman"/>
          <w:sz w:val="22"/>
          <w:szCs w:val="22"/>
        </w:rPr>
        <w:t>Требования по обеспечению инженерно-технических мероприятий гражданской обороны, мероприятия по предупреждению чрезвычайных ситуаций</w:t>
      </w:r>
      <w:bookmarkEnd w:id="12"/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22.07.2008 г. 123-ФЗ «Технический регламент о требованиях пожарной безопасности» должны быть разработаны специальные технические условия, отражающие специфику обеспечения пожарной безопасности и содержащие комплекс необходимых инженерно-технических и организационных мероприятий по обеспечению пожарной безопасности, включая разработку декларации пожарной безопасности (в случаях обязательного прохождения экспертизы проектной документации). Декларация пожарной безопасности разрабатывается с обязательным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расчётом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риска (оценка пожарного риска).</w:t>
      </w:r>
    </w:p>
    <w:p>
      <w:pPr>
        <w:pStyle w:val="3"/>
        <w:rPr>
          <w:rFonts w:hint="default" w:ascii="Times New Roman" w:hAnsi="Times New Roman" w:cs="Times New Roman"/>
          <w:sz w:val="22"/>
          <w:szCs w:val="22"/>
        </w:rPr>
      </w:pPr>
      <w:bookmarkStart w:id="13" w:name="_Toc519518572"/>
      <w:r>
        <w:rPr>
          <w:rFonts w:hint="default" w:ascii="Times New Roman" w:hAnsi="Times New Roman" w:cs="Times New Roman"/>
          <w:sz w:val="22"/>
          <w:szCs w:val="22"/>
        </w:rPr>
        <w:t>Требования по безопасности и охране объектов</w:t>
      </w:r>
      <w:bookmarkEnd w:id="13"/>
    </w:p>
    <w:p>
      <w:pPr>
        <w:spacing w:line="360" w:lineRule="auto"/>
        <w:ind w:firstLine="567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Требования по безопасности и охране объектов должны включать: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Требования к разработке проектных решений по охране объектов и оснащению объектов проектирования системами антитеррористической защиты;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>Интеграцию решений по безопасности и охране объектов с системами охранно-пожарной сигнализации;</w:t>
      </w:r>
    </w:p>
    <w:p>
      <w:pPr>
        <w:pStyle w:val="244"/>
        <w:numPr>
          <w:ilvl w:val="0"/>
          <w:numId w:val="21"/>
        </w:numPr>
        <w:spacing w:after="80" w:line="360" w:lineRule="auto"/>
        <w:ind w:left="0" w:firstLine="567"/>
        <w:jc w:val="both"/>
        <w:rPr>
          <w:rFonts w:hint="default" w:ascii="Times New Roman" w:hAnsi="Times New Roman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bCs/>
          <w:sz w:val="22"/>
          <w:szCs w:val="22"/>
        </w:rPr>
        <w:t xml:space="preserve">Для объектов автоматизации и связи (АСУ, ИУС, ОСОДУ и др.) разработать раздел «Информационная безопасность» с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учётом</w:t>
      </w:r>
      <w:r>
        <w:rPr>
          <w:rFonts w:hint="default" w:ascii="Times New Roman" w:hAnsi="Times New Roman" w:cs="Times New Roman"/>
          <w:bCs/>
          <w:sz w:val="22"/>
          <w:szCs w:val="22"/>
        </w:rPr>
        <w:t xml:space="preserve"> действующих нормативных документов, а также рекомендаций нормативно-методического документа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«Методический документ. Меры защиты информации в государственных информационных системах», утвержденного ФСТЭК России 11.02.2014 г.</w:t>
      </w: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br w:type="page"/>
      </w: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tbl>
      <w:tblPr>
        <w:tblStyle w:val="52"/>
        <w:tblW w:w="954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4869"/>
      </w:tblGrid>
      <w:tr>
        <w:tblPrEx>
          <w:tblLayout w:type="fixed"/>
        </w:tblPrEx>
        <w:tc>
          <w:tcPr>
            <w:tcW w:w="4678" w:type="dxa"/>
            <w:shd w:val="clear" w:color="auto" w:fill="auto"/>
          </w:tcPr>
          <w:p>
            <w:pPr>
              <w:tabs>
                <w:tab w:val="left" w:pos="1134"/>
              </w:tabs>
              <w:ind w:firstLine="567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</w:p>
          <w:p>
            <w:pPr>
              <w:tabs>
                <w:tab w:val="left" w:pos="1134"/>
              </w:tabs>
              <w:ind w:firstLine="567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</w:p>
          <w:p>
            <w:pPr>
              <w:tabs>
                <w:tab w:val="left" w:pos="1134"/>
              </w:tabs>
              <w:ind w:firstLine="567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869" w:type="dxa"/>
            <w:shd w:val="clear" w:color="auto" w:fill="auto"/>
          </w:tcPr>
          <w:p>
            <w:pPr>
              <w:tabs>
                <w:tab w:val="left" w:pos="1134"/>
                <w:tab w:val="left" w:pos="4653"/>
              </w:tabs>
              <w:spacing w:line="360" w:lineRule="auto"/>
              <w:ind w:left="317"/>
              <w:contextualSpacing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 xml:space="preserve">Приложение № 1.2 к </w:t>
            </w:r>
          </w:p>
          <w:p>
            <w:pPr>
              <w:tabs>
                <w:tab w:val="left" w:pos="1134"/>
                <w:tab w:val="left" w:pos="4653"/>
              </w:tabs>
              <w:spacing w:line="360" w:lineRule="auto"/>
              <w:ind w:left="317"/>
              <w:contextualSpacing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 xml:space="preserve">Техническому заданию на проектирование </w:t>
            </w:r>
          </w:p>
          <w:p>
            <w:pPr>
              <w:tabs>
                <w:tab w:val="left" w:pos="1134"/>
                <w:tab w:val="left" w:pos="4653"/>
              </w:tabs>
              <w:spacing w:line="360" w:lineRule="auto"/>
              <w:ind w:left="317"/>
              <w:contextualSpacing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>Договор № _________ от ___________.</w:t>
            </w:r>
          </w:p>
        </w:tc>
      </w:tr>
    </w:tbl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ind w:firstLine="567"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044"/>
          <w:tab w:val="left" w:pos="1134"/>
        </w:tabs>
        <w:spacing w:line="360" w:lineRule="auto"/>
        <w:ind w:firstLine="567"/>
        <w:contextualSpacing/>
        <w:jc w:val="right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tabs>
          <w:tab w:val="left" w:pos="1134"/>
        </w:tabs>
        <w:spacing w:line="360" w:lineRule="auto"/>
        <w:contextualSpacing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ТЕХНИЧЕСКИЕ ТРЕБОВАНИЯ</w:t>
      </w:r>
    </w:p>
    <w:p>
      <w:pPr>
        <w:tabs>
          <w:tab w:val="left" w:pos="1134"/>
        </w:tabs>
        <w:spacing w:line="360" w:lineRule="auto"/>
        <w:contextualSpacing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 комплексной АСУ КНС</w:t>
      </w:r>
    </w:p>
    <w:p>
      <w:pPr>
        <w:spacing w:line="360" w:lineRule="auto"/>
        <w:contextualSpacing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br w:type="page"/>
      </w:r>
    </w:p>
    <w:p>
      <w:pPr>
        <w:keepNext/>
        <w:keepLines/>
        <w:spacing w:before="360" w:after="120" w:line="100" w:lineRule="atLeast"/>
        <w:ind w:left="360" w:hanging="360"/>
        <w:outlineLvl w:val="0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14" w:name="_Toc525919754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Перечень принятых сокращений</w:t>
      </w:r>
      <w:bookmarkEnd w:id="14"/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АВ – автоматический выключатель;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АВР – автоматический ввод резерва;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АД – асинхронный электродвигатель;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АДС – аварийно-диспетчерская служба;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АПВ – автоматическое повторное включение;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АРМ – автоматизированное рабочее место;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АИИС КУЭ – автоматизированная информационно-измерительная система коммерческого учета электроэнергии;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АИИС ТУЭ – автоматизированная информационно-измерительная система технического учета электроэнергии;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АСУ – автоматизированная система управления;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АСУ ТП – автоматизированная система управления технологическими процессами;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АСУЭ - автоматизированная система управления электроснабжением;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АУПТ – автоматическая установка пожаротушения;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АУПС – автоматическая установка пожарной сигнализации;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БД – база данных;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БП – блок питания;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ВиВ – водоснабжение и водоотведение;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ВК – водоснабжение и канализация;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ВКХ – водопроводно-канализационное хозяйство;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ВЛ – воздушная линия;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ВНС – водопроводная насосная станция;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ГИС – геоинформационная система;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ГКНС – главная канализационная насосная станция;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ГК – группа компаний;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ГК РКС – группа компаний «Российские коммунальные системы»;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ГМ – гидравлическая модель;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ГНС – главная насосная станция;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ГО – гражданская оборона;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ГОСТ – государственный стандарт;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ГОСТ Р – государственный стандарт РФ;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ДЗ РКСМ – департамент закупок АО «РКС-Менеджмент»;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ДТ – диктующая точка;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ДЭС – дизельная электростанция;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ЕИС – единая информационная система;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ЕСКД – единая система конструкторской документации;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ЕСТД – единая система технологической документации;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ЕТП – Единая техническая политика;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ЗИП – запасные части, инструменты и приспособления;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ЗРА – запорно-регулирующая арматура;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ЗСО – зона санитарной охраны;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ИБП – система бесперебойного питания;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ИК – инфракрасное излучение;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ИП – инвестиционная программа;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ИПУ – индивидуальный прибор учета;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ИТМ – инженерно-технические мероприятия;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ИТП – индивидуальный тепловой пункт;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ИТР – инженерно-технический работник;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ИСО – интегрированная система охраны;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ИУС – информационно-управляющая система;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КИПиА – контрольно-измерительные приборы и автоматика;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КЛ – кабельная линия;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КНС – канализационная насосная станция;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КОС – канализационные очистные сооружения;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КТП – комплексная трансформаторная подстанция;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ЛСР – локальный сметный расчет;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МД – методическая документация;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МКД – многоквартирный дом;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МТР – материально технический ресурс;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НА – насосный агрегат;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НВЦС – негативное воздействие на работу централизованной системы водоотведения;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НД – нормативная документация;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НДС – нормативно допустимые сбросы;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НИОКР – научно-исследовательские и опытно-конструкторские работы;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НКУ – низковольтное комплектное устройство;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НС – насосная станция;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НТЦ – научно-технический центр;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ОДН – общедомовые нужды;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ОДПУ – общедомовые приборы учета;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ОПИ – общераспространенные полезные ископаемые;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ОРСиС – оптимизация режимов сетей и сооружений;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ОТиЗ – отдел труда и заработной платы;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ПАЗ – противоаварийная защита;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ПВ – питьевая вода;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ПД – проектная документация;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ПДВ – предельно допустимый выброс;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ПДК – предельно допустимая концентрация;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ПЖО – пожарная охрана;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ПИР – проектно-изыскательные работы;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ПНС – повысительная насосная станция водоснабжения;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ПК – персональный компьютер;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ПЛК – программируемый логический контроллер;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ПО – программное обеспечение;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ПОС – проект организации строительства;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ПТД РКСМ – производственно-технический департамент АО «РКС-Менеджмент»;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ПТК – программно-технический комплекс;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ПТО – производственно-технический отдел;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ПУЭ – Правила устройства электроустановок;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ПУ – прибор учета;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ПЧ – преобразователь частоты;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РЗА – релейная защита и автоматика;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РКСМ – АО «РКС- Менеджмент»; 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РМ – рабочее место;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РЧВ – резервуар чистой воды;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РУ – распределительное устройство;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РЭ – руководство по эксплуатации;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СВ – сточные воды;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СД – синхронный электродвигатель;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СЗК – светозвуковая колонна;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СИЗ – средства индивидуальной защиты;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СКП – система контроля периметра;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СКУД – система контроля и управления доступом;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СМР – строительно-монтажные работы;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СОУЭ – система оповещения и управления эвакуацией людей при пожаре;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СП – свод правил;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СПК – система поддержания климата;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СПРВ – система подачи и распределения воды;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СПТ – система пожаротушения;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СПОТ – система питания оперативного тока;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СОС – система охранной сигнализации;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СУБД – система управления базой данных;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СУП – система уравнивания потенциалов;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СХД – система хранения данных;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ТЗ – техническое задание;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ТМЦ – товарно-материальные ценности;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ТН – трансформатор напряжения;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ТС – технический совет;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ТТ – технические требования (в контексте документации);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ТТ – трансформатор тока (в контексте технических средств);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ТЭО – технико-экономическое обоснование;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УПД – устройство передачи данных;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УПП – устройство плавного пуска;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УТР ПД – Управление технологического развития производственной деятельности Операционной дирекции РКСМ;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УЗИП – устройство защиты от перенапряжения;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УФ – ультрафиолетовое излучение;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ФГИС ЦС – Федеральная государственная информационная система ценообразования в строительстве;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ФОТ – фонд оплаты труда;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ЦДС – центральная диспетчерская служба;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ЦТП – центральный тепловой пункт;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ЧМИ (HMI) – человеко-машинный интерфейс;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ЧС – чрезвычайная ситуация;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ШДТ – шкаф диктующей точки;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ШМ – шеф-монтажные работы;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ШУ – шкаф управления;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УО – управляемое общество;</w:t>
      </w:r>
    </w:p>
    <w:p>
      <w:pPr>
        <w:tabs>
          <w:tab w:val="left" w:pos="993"/>
        </w:tabs>
        <w:spacing w:after="200" w:line="288" w:lineRule="auto"/>
        <w:ind w:firstLine="567"/>
        <w:contextualSpacing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ЭД – эксплуатационная документация;</w:t>
      </w:r>
    </w:p>
    <w:p>
      <w:pPr>
        <w:tabs>
          <w:tab w:val="left" w:pos="1134"/>
        </w:tabs>
        <w:spacing w:after="160" w:line="360" w:lineRule="auto"/>
        <w:ind w:firstLine="567"/>
        <w:contextualSpacing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ЭсНП – эффективность комплекса мероприятий по снижению платы за водопользование.</w:t>
      </w:r>
    </w:p>
    <w:p>
      <w:pPr>
        <w:spacing w:after="160" w:line="259" w:lineRule="auto"/>
        <w:rPr>
          <w:rFonts w:hint="default" w:ascii="Times New Roman" w:hAnsi="Times New Roman" w:cs="Times New Roman"/>
          <w:b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lang w:eastAsia="ar-SA"/>
        </w:rPr>
        <w:br w:type="page"/>
      </w:r>
    </w:p>
    <w:p>
      <w:pPr>
        <w:keepNext/>
        <w:keepLines/>
        <w:spacing w:before="360" w:after="120" w:line="100" w:lineRule="atLeast"/>
        <w:ind w:left="360" w:hanging="360"/>
        <w:outlineLvl w:val="0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15" w:name="_Toc525919755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Термины и определения</w:t>
      </w:r>
      <w:bookmarkEnd w:id="15"/>
    </w:p>
    <w:p>
      <w:pPr>
        <w:tabs>
          <w:tab w:val="left" w:pos="851"/>
        </w:tabs>
        <w:spacing w:after="20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en-US"/>
        </w:rPr>
        <w:t>GSM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– глобальный стандарт цифровой мобильной сотовой связи с разделением каналов по времени (TDMA) и частоте (FDMA);</w:t>
      </w:r>
    </w:p>
    <w:p>
      <w:pPr>
        <w:tabs>
          <w:tab w:val="left" w:pos="851"/>
        </w:tabs>
        <w:spacing w:after="20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RDP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– протокол удаленного рабочего стола, использующийся для обеспечения удалённой работы пользователя с сервером, на котором запущен сервис терминальных подключений;</w:t>
      </w:r>
    </w:p>
    <w:p>
      <w:pPr>
        <w:tabs>
          <w:tab w:val="left" w:pos="851"/>
        </w:tabs>
        <w:spacing w:after="20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SCADA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- программный пакет, предназначенный для разработки или обеспечения работы в реальном времени систем сбора, обработки, отображения и архивирования информации об объекте мониторинга или управления;</w:t>
      </w:r>
    </w:p>
    <w:p>
      <w:pPr>
        <w:tabs>
          <w:tab w:val="left" w:pos="851"/>
        </w:tabs>
        <w:spacing w:after="20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en-US"/>
        </w:rPr>
        <w:t>SD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(Secure Digital Memory Card) – формат карт памяти на основе постоянной энергонезависимой памяти, разработанный для использования в портативных устройствах;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Программируемый логический контроллер (ПЛК)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– специальная разновидность электронной вычислительной машины, используемая для автоматизации технологических процессов;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Автоматизированное рабочее место (АРМ)</w:t>
      </w:r>
      <w:r>
        <w:rPr>
          <w:rFonts w:hint="default" w:ascii="Times New Roman" w:hAnsi="Times New Roman" w:cs="Times New Roman"/>
          <w:bCs/>
          <w:color w:val="auto"/>
          <w:sz w:val="22"/>
          <w:szCs w:val="22"/>
        </w:rPr>
        <w:t xml:space="preserve"> – программно-технический комплекс, объединяющий программно-аппаратные средства, реализующие функционал человеко-машинного интерфейса (ЧМИ): обеспечивающие взаимодействие человека с компьютером и предоставляющие возможность ввода информации (через клавиатуру, компьютерную мышь, сканер и пр.) и её вывод на экран монитора, принтер, графопостроитель, звуковую карту и иные устройства вывода;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Оператор</w:t>
      </w:r>
      <w:r>
        <w:rPr>
          <w:rFonts w:hint="default" w:ascii="Times New Roman" w:hAnsi="Times New Roman" w:cs="Times New Roman"/>
          <w:bCs/>
          <w:color w:val="auto"/>
          <w:sz w:val="22"/>
          <w:szCs w:val="22"/>
        </w:rPr>
        <w:t xml:space="preserve"> – сотрудник из числа оперативно-диспетчерского персонала предприятия, осуществляющий контроль и управление работой комплекса АСУ посредством АРМ;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lang w:eastAsia="ar-SA"/>
        </w:rPr>
        <w:t>Нижний уровень АСУ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 – совокупность контрольно-измерительных приборов и автоматики (КИПиА), предназначенных для непосредственного измерения технологических и электрических параметров работы оборудования насосных станций, а также исполнительных устройств и механизмов;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lang w:eastAsia="ar-SA"/>
        </w:rPr>
        <w:t>Средний уровень АСУ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 – оборудование на основе ПЛК, предназначенное для управления исполнительными устройствами и механизмами, а также сбора, хранения и передачи данных об их работе на верхний уровень АСУ;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lang w:eastAsia="ar-SA"/>
        </w:rPr>
        <w:t>Верхний уровень АСУ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 – совокупность серверов SCADA, систем хранения данных (СХД), каналов передачи данных с технологической инфраструктурой и АРМ операторов, предназначенных для сбора, архивации, визуализации и предоставления данных, выполнения функций телеуправления и телесигнализации, организации ЧМИ и контроля доступа АСУ;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lang w:eastAsia="ar-SA"/>
        </w:rPr>
        <w:t>Диктующая точка (ДТ)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 – точка контроля основных технологических параметров системы ВиВ (давление и расход), предназначенная для реализации обратных связей по управлению в системе.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Шкаф диктующей точки (ШДТ)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– автономное устройство с собственными средствами питания, измерения и передачи данных с защитой от несанкционированного доступа, предназначенное для измерения давления в ДТ;</w:t>
      </w:r>
    </w:p>
    <w:p>
      <w:pPr>
        <w:tabs>
          <w:tab w:val="left" w:pos="851"/>
          <w:tab w:val="left" w:pos="4320"/>
        </w:tabs>
        <w:spacing w:after="80" w:line="288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Насосная станция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– комплекс гидротехнических сооружений и оборудования для подъема воды насосами на более высокую высотную отметку (повышение давления в трубопроводе);</w:t>
      </w:r>
    </w:p>
    <w:p>
      <w:pPr>
        <w:spacing w:after="160" w:line="259" w:lineRule="auto"/>
        <w:ind w:firstLine="567"/>
        <w:rPr>
          <w:rFonts w:hint="default" w:ascii="Times New Roman" w:hAnsi="Times New Roman" w:cs="Times New Roman"/>
          <w:b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lang w:eastAsia="ar-SA"/>
        </w:rPr>
        <w:t>Актуатор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 – исполнительный механизм, в котором электрическая энергия преобразуется в механическую, что приводит к выполнению действия, заданного управляющим сигналом. В контексте документа под А. понимается электропривод компонентов подсистем.</w:t>
      </w: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br w:type="page"/>
      </w:r>
    </w:p>
    <w:p>
      <w:pPr>
        <w:keepNext/>
        <w:keepLines/>
        <w:tabs>
          <w:tab w:val="left" w:pos="1134"/>
        </w:tabs>
        <w:spacing w:before="360" w:after="120" w:line="360" w:lineRule="auto"/>
        <w:ind w:firstLine="567"/>
        <w:contextualSpacing/>
        <w:outlineLvl w:val="0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16" w:name="_Toc525919756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техническим решениям типовой АСУ НС</w:t>
      </w:r>
      <w:bookmarkEnd w:id="16"/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17" w:name="_Toc525919757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Цепи питания, управления и контроля</w:t>
      </w:r>
      <w:bookmarkEnd w:id="17"/>
    </w:p>
    <w:p>
      <w:pPr>
        <w:keepNext/>
        <w:keepLines/>
        <w:numPr>
          <w:ilvl w:val="2"/>
          <w:numId w:val="24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18" w:name="_Toc525919758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Цепи питания 24 В</w:t>
      </w:r>
      <w:bookmarkEnd w:id="18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Для питания слаботочных цепей управления, сигнализации и измерений от сети переменного тока предназначена система питания оперативным током (СПОТ).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СПОТ в общем случае состоит из:</w:t>
      </w:r>
    </w:p>
    <w:p>
      <w:pPr>
        <w:numPr>
          <w:ilvl w:val="0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Блоков питания (БП) 230/24 В, рабочие характеристики которых определяются исходя из состава и параметров слаботочных устройств;</w:t>
      </w:r>
    </w:p>
    <w:p>
      <w:pPr>
        <w:numPr>
          <w:ilvl w:val="0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Устройств резервирования БП;</w:t>
      </w:r>
    </w:p>
    <w:p>
      <w:pPr>
        <w:numPr>
          <w:ilvl w:val="0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Устройств коммутации и защиты – автоматических выключателей (АВ) постоянного тока и предохранителей;</w:t>
      </w:r>
    </w:p>
    <w:p>
      <w:pPr>
        <w:numPr>
          <w:ilvl w:val="0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Источников бесперебойного питания (ИБП);</w:t>
      </w:r>
    </w:p>
    <w:p>
      <w:pPr>
        <w:numPr>
          <w:ilvl w:val="0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Батарей для ИБП;</w:t>
      </w:r>
    </w:p>
    <w:p>
      <w:pPr>
        <w:numPr>
          <w:ilvl w:val="0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Средств распределения питания.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Не допускается в качестве БП в составе СПОТ использовать встроенный в ПЛК или ПЧ источник питания 24 В.</w:t>
      </w:r>
    </w:p>
    <w:p>
      <w:pPr>
        <w:keepNext/>
        <w:keepLines/>
        <w:numPr>
          <w:ilvl w:val="2"/>
          <w:numId w:val="24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19" w:name="_Toc525919759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ПЛК</w:t>
      </w:r>
      <w:bookmarkEnd w:id="19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качестве ПЛК в составе АСУ ТП НС необходимо использовать общепромышленный ПЛК, соответствующий следующим требованиям:</w:t>
      </w:r>
    </w:p>
    <w:p>
      <w:pPr>
        <w:numPr>
          <w:ilvl w:val="0"/>
          <w:numId w:val="25"/>
        </w:numPr>
        <w:tabs>
          <w:tab w:val="left" w:pos="-144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Условия эксплуатации:</w:t>
      </w:r>
    </w:p>
    <w:p>
      <w:pPr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рабочий диапазон температур: от +5 до +50°С;</w:t>
      </w:r>
    </w:p>
    <w:p>
      <w:pPr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температура хранения: от -35 до +50°С;</w:t>
      </w:r>
    </w:p>
    <w:p>
      <w:pPr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влажность воздуха: от 5 до 95% (без выпадения конденсата);</w:t>
      </w:r>
    </w:p>
    <w:p>
      <w:pPr>
        <w:numPr>
          <w:ilvl w:val="0"/>
          <w:numId w:val="25"/>
        </w:numPr>
        <w:tabs>
          <w:tab w:val="left" w:pos="-180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ПЛК должен иметь модульную структуру, позволяющую гибко конфигурировать его под требуемое количество входных и выходных сигналов. Конфигурация ПЛК должна состоять из процессорного модуля, модулей дискретных входов/выходов, модулей аналоговых входов/выходов, интерфейсных модулей (RS232,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RS</w:t>
      </w:r>
      <w:r>
        <w:rPr>
          <w:rFonts w:hint="default" w:ascii="Times New Roman" w:hAnsi="Times New Roman" w:cs="Times New Roman"/>
          <w:sz w:val="22"/>
          <w:szCs w:val="22"/>
        </w:rPr>
        <w:t>485), специализированных модулей (термодатчиков, тензодатчиков, счетчиков и т.д.). Возможно применение комбинированных модулей. Ниже приведены подробные требования к каждому типу модулей ПЛК.</w:t>
      </w:r>
    </w:p>
    <w:p>
      <w:pPr>
        <w:numPr>
          <w:ilvl w:val="1"/>
          <w:numId w:val="25"/>
        </w:numPr>
        <w:tabs>
          <w:tab w:val="left" w:pos="-90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Процессорный модуль:</w:t>
      </w:r>
    </w:p>
    <w:p>
      <w:pPr>
        <w:numPr>
          <w:ilvl w:val="0"/>
          <w:numId w:val="2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Быстродействие, достаточное для управления технологическим процессом (0.065 мкс на логическую операцию);</w:t>
      </w:r>
    </w:p>
    <w:p>
      <w:pPr>
        <w:numPr>
          <w:ilvl w:val="0"/>
          <w:numId w:val="2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Поддержка языков программирования по ГОСТ Р МЭК 61131-3-2016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IEC</w:t>
      </w:r>
      <w:r>
        <w:rPr>
          <w:rFonts w:hint="default" w:ascii="Times New Roman" w:hAnsi="Times New Roman" w:cs="Times New Roman"/>
          <w:sz w:val="22"/>
          <w:szCs w:val="22"/>
        </w:rPr>
        <w:t xml:space="preserve"> 61131-3);</w:t>
      </w:r>
    </w:p>
    <w:p>
      <w:pPr>
        <w:numPr>
          <w:ilvl w:val="0"/>
          <w:numId w:val="2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Размер программы 64 000 шагов;</w:t>
      </w:r>
    </w:p>
    <w:p>
      <w:pPr>
        <w:numPr>
          <w:ilvl w:val="0"/>
          <w:numId w:val="2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Наличие аппаратных и программных прерываний;</w:t>
      </w:r>
    </w:p>
    <w:p>
      <w:pPr>
        <w:numPr>
          <w:ilvl w:val="0"/>
          <w:numId w:val="2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Наличие энергонезависимой памяти для хранения программы и параметров;</w:t>
      </w:r>
    </w:p>
    <w:p>
      <w:pPr>
        <w:numPr>
          <w:ilvl w:val="1"/>
          <w:numId w:val="28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Модули дискретных входов:</w:t>
      </w:r>
    </w:p>
    <w:p>
      <w:pPr>
        <w:numPr>
          <w:ilvl w:val="0"/>
          <w:numId w:val="29"/>
        </w:numPr>
        <w:tabs>
          <w:tab w:val="left" w:pos="-180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Защита входов – опторазвязка;</w:t>
      </w:r>
    </w:p>
    <w:p>
      <w:pPr>
        <w:numPr>
          <w:ilvl w:val="0"/>
          <w:numId w:val="29"/>
        </w:numPr>
        <w:tabs>
          <w:tab w:val="left" w:pos="-180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Встроенный фильтр входных сигналов, для защиты от дребезга контактов;</w:t>
      </w:r>
    </w:p>
    <w:p>
      <w:pPr>
        <w:numPr>
          <w:ilvl w:val="1"/>
          <w:numId w:val="28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Модули дискретных выходов:</w:t>
      </w:r>
    </w:p>
    <w:p>
      <w:pPr>
        <w:numPr>
          <w:ilvl w:val="0"/>
          <w:numId w:val="30"/>
        </w:numPr>
        <w:tabs>
          <w:tab w:val="left" w:pos="-252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Защита выходов – реле;</w:t>
      </w:r>
    </w:p>
    <w:p>
      <w:pPr>
        <w:numPr>
          <w:ilvl w:val="0"/>
          <w:numId w:val="30"/>
        </w:numPr>
        <w:tabs>
          <w:tab w:val="left" w:pos="-252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Допустимая нагрузка на выход – 2 А;</w:t>
      </w:r>
    </w:p>
    <w:p>
      <w:pPr>
        <w:numPr>
          <w:ilvl w:val="1"/>
          <w:numId w:val="28"/>
        </w:numPr>
        <w:tabs>
          <w:tab w:val="left" w:pos="-216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Модули аналоговых входов:</w:t>
      </w:r>
    </w:p>
    <w:p>
      <w:pPr>
        <w:numPr>
          <w:ilvl w:val="0"/>
          <w:numId w:val="31"/>
        </w:numPr>
        <w:tabs>
          <w:tab w:val="left" w:pos="-1980"/>
          <w:tab w:val="left" w:pos="1134"/>
          <w:tab w:val="left" w:pos="1800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Типы измеряемых сигналов унифицированные: 0-10 В, 0-20 мА, 4-20 мА;</w:t>
      </w:r>
    </w:p>
    <w:p>
      <w:pPr>
        <w:numPr>
          <w:ilvl w:val="0"/>
          <w:numId w:val="31"/>
        </w:numPr>
        <w:tabs>
          <w:tab w:val="left" w:pos="-1980"/>
          <w:tab w:val="left" w:pos="1134"/>
          <w:tab w:val="left" w:pos="1800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Встроенная проверка измерительного канала на типовые отказы (КЗ, обрыв, повреждение сенсора и т.п.).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Программирование ПЛК должно осуществляться через встроенные интерфейсы модуля CPU. 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ПЛК должен быть предусмотрен режим корректировки ПО и изменения уставок, параметров, без вывода контроллера из режима управления («горячий режим»);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ПЛК должен иметь встроенные средства самодиагностики, которые должны выявлять любые отклонения в работе ПЛК и указывать неисправные модули. Неисправности в работе модулей не должны приводить к аварийному останову ПЛК.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После отключения питания должен производиться автоматический перезапуск ПЛК. 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При любых сбоях в работе технологического оборудования ПЛК не должен производить повторный запуск оборудования без команды и подтверждения оператора.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При отказе системы управления верхнего уровня, ПЛК должен работать в автономном режиме.  Потеря данных недопустима, после восстановления работы сервера ПЛК должен передать данные за период аварийной работы, сохраняемые на внешнюю карту памяти в составе УСПД.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Напряжение срабатывания входов ПЛК – 24 В постоянного тока.  Для обеспечения гальванической развязки и защиты выходов контроллера необходимо устанавливать промежуточные реле.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Тип выходов ПЛК должен определяться функциональными требованиями конкретных цепей управления.</w:t>
      </w:r>
    </w:p>
    <w:p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Для включения катушек коммутационной аппаратуры (реле, контакторы и т.д.) необходимо предусматривать защитные цепочки, характеристики которых определяются коммутационной аппаратурой.</w:t>
      </w:r>
    </w:p>
    <w:p>
      <w:pPr>
        <w:tabs>
          <w:tab w:val="left" w:pos="1134"/>
        </w:tabs>
        <w:spacing w:after="160" w:line="360" w:lineRule="auto"/>
        <w:ind w:firstLine="567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Должен быть предусмотрен резерв по дискретным и аналоговым входам/выходам ПЛК не менее 10%.</w:t>
      </w:r>
    </w:p>
    <w:p>
      <w:pPr>
        <w:keepNext/>
        <w:keepLines/>
        <w:numPr>
          <w:ilvl w:val="2"/>
          <w:numId w:val="24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20" w:name="_Toc525919760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Аварийный останов</w:t>
      </w:r>
      <w:bookmarkEnd w:id="20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ШУ должны быть снабжены кнопкой аварийного останова типа «грибок» с фиксацией, по которой должно осуществляться физическое размыкание цепей управления насосными агрегатами независимо от режима работы.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Аварийные кнопки должны быть дублированы на кнопочных постах.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Цепи безопасности, к которым относятся аварийные кнопки, не должны управляться ПЛК.</w:t>
      </w:r>
    </w:p>
    <w:p>
      <w:pPr>
        <w:keepNext/>
        <w:keepLines/>
        <w:numPr>
          <w:ilvl w:val="2"/>
          <w:numId w:val="24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21" w:name="_Toc525919761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Индикация состояния АСУ ТП НС</w:t>
      </w:r>
      <w:bookmarkEnd w:id="21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Необходимо предусматривать сигнализацию работы системы сигнальной арматурой, дополнительно к панели оператора: </w:t>
      </w:r>
    </w:p>
    <w:p>
      <w:pPr>
        <w:numPr>
          <w:ilvl w:val="0"/>
          <w:numId w:val="32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индикация наличия питания цепей управления;</w:t>
      </w:r>
    </w:p>
    <w:p>
      <w:pPr>
        <w:numPr>
          <w:ilvl w:val="0"/>
          <w:numId w:val="32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индикация состояния ИБП;</w:t>
      </w:r>
    </w:p>
    <w:p>
      <w:pPr>
        <w:numPr>
          <w:ilvl w:val="0"/>
          <w:numId w:val="32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индикация включения насосных агрегатов (независимо от режима работы);</w:t>
      </w:r>
    </w:p>
    <w:p>
      <w:pPr>
        <w:numPr>
          <w:ilvl w:val="0"/>
          <w:numId w:val="32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наличие аварийных событий на станции;</w:t>
      </w:r>
    </w:p>
    <w:p>
      <w:pPr>
        <w:numPr>
          <w:ilvl w:val="0"/>
          <w:numId w:val="32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индикация состояния ЗРА.</w:t>
      </w:r>
    </w:p>
    <w:p>
      <w:pPr>
        <w:tabs>
          <w:tab w:val="left" w:pos="1134"/>
        </w:tabs>
        <w:spacing w:after="160" w:line="360" w:lineRule="auto"/>
        <w:ind w:firstLine="567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качестве сигнальной арматуры необходимо использовать светозвуковые колонны, индикаторы и кнопки с подсветкой. Коды световых и звуковых сообщений/состояний должны быть описаны в РЭ оборудования.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22" w:name="_Toc525919762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кабелям и проводам</w:t>
      </w:r>
      <w:bookmarkEnd w:id="22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Кабели и провода следует выбирать таким образом, чтобы соответствовать условиям эксплуатации (по уровню напряжения, значениям номинального тока, защите от ударов электрическим током, способом прокладки кабелей) и выдерживать возможные внешние воздействия (перепады температур, механические нагрузки, возгорания), в том числе при монтаже.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Токопроводящие жилы проводов и кабелей должны быть медными. Токопроводящие жилы сечением более 0,5 </w:t>
      </w:r>
      <m:oMath>
        <m:sSup>
          <m:sSupPr>
            <m:ctrlPr>
              <w:rPr>
                <w:rFonts w:hint="default" w:ascii="Cambria Math" w:hAnsi="Cambria Math" w:cs="Times New Roman"/>
                <w:i/>
                <w:sz w:val="22"/>
                <w:szCs w:val="22"/>
              </w:rPr>
            </m:ctrlPr>
          </m:sSupPr>
          <m:e>
            <m:r>
              <w:rPr>
                <w:rFonts w:hint="default" w:ascii="Cambria Math" w:hAnsi="Cambria Math" w:cs="Times New Roman"/>
                <w:sz w:val="22"/>
                <w:szCs w:val="22"/>
              </w:rPr>
              <m:t>мм</m:t>
            </m:r>
            <m:ctrlPr>
              <w:rPr>
                <w:rFonts w:hint="default" w:ascii="Cambria Math" w:hAnsi="Cambria Math" w:cs="Times New Roman"/>
                <w:i/>
                <w:sz w:val="22"/>
                <w:szCs w:val="22"/>
              </w:rPr>
            </m:ctrlPr>
          </m:e>
          <m:sup>
            <m:r>
              <w:rPr>
                <w:rFonts w:hint="default" w:ascii="Cambria Math" w:hAnsi="Cambria Math" w:cs="Times New Roman"/>
                <w:sz w:val="22"/>
                <w:szCs w:val="22"/>
              </w:rPr>
              <m:t>2</m:t>
            </m:r>
            <m:ctrlPr>
              <w:rPr>
                <w:rFonts w:hint="default" w:ascii="Cambria Math" w:hAnsi="Cambria Math" w:cs="Times New Roman"/>
                <w:i/>
                <w:sz w:val="22"/>
                <w:szCs w:val="22"/>
              </w:rPr>
            </m:ctrlPr>
          </m:sup>
        </m:sSup>
      </m:oMath>
      <w:r>
        <w:rPr>
          <w:rFonts w:hint="default" w:ascii="Times New Roman" w:hAnsi="Times New Roman" w:cs="Times New Roman"/>
          <w:sz w:val="22"/>
          <w:szCs w:val="22"/>
        </w:rPr>
        <w:t xml:space="preserve"> должны выполняться гибкими многопроволочными.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Изоляционные материалы кабелей и проводов: </w:t>
      </w:r>
    </w:p>
    <w:p>
      <w:pPr>
        <w:numPr>
          <w:ilvl w:val="0"/>
          <w:numId w:val="33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поливинилхлорид (ПВХ);</w:t>
      </w:r>
    </w:p>
    <w:p>
      <w:pPr>
        <w:numPr>
          <w:ilvl w:val="0"/>
          <w:numId w:val="33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натуральная или синтетическая резина. 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 </w:t>
      </w:r>
      <w:bookmarkStart w:id="23" w:name="_Toc525919763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соединениям</w:t>
      </w:r>
      <w:bookmarkEnd w:id="23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Электрические соединения внутри станции управления должны выполняться в соответствии с ГОСТ 10434-82 «Соединения контактные электрические классификация. Общие технические требования». 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 присоединении проводов и кабелей с многопроволочной токопроводящей жилой к приборам, аппаратам и сборкам, зажимов жилы должны оконцовываться наконечниками. Тип наконечника определяется в зависимости от сечения токопроводящей жилы и функционального типа контакта устройства, к которому будет подключен оконцованный проводник.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Присоединение двух и более проводников к одному наконечнику допускается только в случае, если наконечник предназначен для этого.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цепях заземления каждому проводнику должен соответствовать свой наконечник. Не допускается групповой обжим проводников одним наконечником.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Не допускается зажим нескольких наконечников в одном контакте устройства. При необходимости подключения к контакту нескольких проводников, необходимо либо использовать групповые наконечники, либо подключать проводники через проходные клеммы, объединенные в группы перемычками.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Все соединения, включая защитные, должны быть защищены от случайного ослабления.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Паяные соединения допускаются только в том случае, если контакты предусмотрены для этого и при обоснованной технической необходимости.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Проводники на протяжении соединительной цепи должны быть неразрывны и не иметь промежуточных соединений любого типа, кроме подключений к дублирующим проходным клеммам.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Подсоединения к элементам, установленным на дверях или на других подвижных частях, должны выполняться гибкими проводниками, тип которых должен обеспечивать многократные сгибания и деформацию без ухудшения свойств на протяжении всего срока службы.  Количество и частота перемещения подвижных частей определяется функциональным назначением узла и учитывается при выборе проводников.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Провода должны быть закреплены, как на подвижной, так и на неподвижной части. 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24" w:name="_Toc525919764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маркировке аппаратов и внутренних цепей</w:t>
      </w:r>
      <w:bookmarkEnd w:id="24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Все аппараты, кабели, проводники, провода и клеммы (наборы клемм), установленные в шкафы/боксы подсистем АСУ НС, должны быть промаркированы. Маркировка установленной аппаратуры должна совпадать с обозначениями электрических схем (Э3, Э4, Э5) в составе проектной и эксплуатационной документации на АСУ.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Маркировочные элементы должны быть изготовлены из самоклеящейся полиэфирной пленки, устойчивой к истиранию и воздействию агрессивных сред. Надпись должна выполняться черным цветом печатным способом, размер шрифта должен выбираться с учетом максимально возможного заполнения зоны печати. Маркировочный элемент размещается сверху или слева от аппарата на вертикальной поверхности монтажной панели, боковых стенок, двери. 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Не допускается размещение маркировочного элемента непосредственно на аппарат, крышку монтажного короба, потолок и основание станции.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Размеры маркировочных элементов кабелей и проводов выбираются исходя из диаметра проводника.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Цвет изоляции проводников: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защитные проводники цепей заземления – зелено-желтый;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силовые цепи переменного и постоянного тока – черный;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цепи управления переменного тока – красный;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цепи управления постоянного тока – синий;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силовые цепи переменного и постоянного тока, которые после отключения вводного выключателя станции остаются под напряжением – оранжевый;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цепи нейтрали – голубой.</w:t>
      </w:r>
    </w:p>
    <w:p>
      <w:pPr>
        <w:tabs>
          <w:tab w:val="left" w:pos="1134"/>
        </w:tabs>
        <w:spacing w:after="35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Данная цветовая кодировка не относится к жестким и гибким шинам питания силовых шкафов.</w:t>
      </w:r>
    </w:p>
    <w:p>
      <w:pPr>
        <w:tabs>
          <w:tab w:val="left" w:pos="1134"/>
        </w:tabs>
        <w:spacing w:after="35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Цветовая маркировка органов управления и сигнализации: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кнопка аварийного останова красного цвета;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кнопки «Пуск» – черного цвета (допускается выполнять кнопки зеленого цвета);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кнопка «Стоп» – красного цвета;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переключатели режимов работы – черного цвета;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индикаторы номинальных режимов работы и индикации сетевого питания – зеленого цвета;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предупредительная индикация и индикаторы работы от ИБП – желтого цвета;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индикация состояния ЗРА – зеленого цвета для полностью открытого состояния, желтого цвета – для полностью закрытого состояния;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аварийная индикация – красного цвета. 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25" w:name="_Toc525919765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Маркировка силовых шкафов и ШУ</w:t>
      </w:r>
      <w:bookmarkEnd w:id="25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каждом шкафе/боксе, входящем в состав АСУ НС или ШДТ, должна быть установлена табличка, имеющая нестираемую маркировку, и расположенная в таком месте, чтобы после установки оборудования она была видима и разборчива.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табличке должны быть указаны: 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Наименование шкафа/бокса;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Обозначение шкафа/бокса;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Функциональное назначение;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Дата изготовления;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Серийный заводской номер изделия;</w:t>
      </w:r>
    </w:p>
    <w:p>
      <w:pPr>
        <w:numPr>
          <w:ilvl w:val="0"/>
          <w:numId w:val="34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Информация о фирме изготовителе (наименование, адрес, телефон и т.д.), в том числе контакты службы технической поддержки. </w:t>
      </w:r>
    </w:p>
    <w:p>
      <w:pPr>
        <w:keepNext/>
        <w:keepLines/>
        <w:tabs>
          <w:tab w:val="left" w:pos="1134"/>
        </w:tabs>
        <w:spacing w:before="360" w:after="120" w:line="360" w:lineRule="auto"/>
        <w:ind w:firstLine="567"/>
        <w:contextualSpacing/>
        <w:outlineLvl w:val="0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26" w:name="_Toc525919766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применяемому оборудованию</w:t>
      </w:r>
      <w:bookmarkEnd w:id="26"/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27" w:name="_Toc525919767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внешнему монтажу</w:t>
      </w:r>
      <w:bookmarkEnd w:id="27"/>
    </w:p>
    <w:p>
      <w:pPr>
        <w:tabs>
          <w:tab w:val="left" w:pos="1134"/>
        </w:tabs>
        <w:spacing w:after="33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Пересечение силовых цепей и неэкранированных измерительных/сигнальных цепей допускается только под прямым углом. При параллельной прокладке, расстояние между кабелями разных групп при наличии неэкранированных кабелей должно быть не менее 15см.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Для сигналов измерительных преобразователей требуется выбирать многожильный экранированный кабель с обязательным заземлением экрана на обоих концах кабеля. Для интерфейсных сигналов требуется выбирать кабель соответствующей категории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UTP</w:t>
      </w:r>
      <w:r>
        <w:rPr>
          <w:rFonts w:hint="default" w:ascii="Times New Roman" w:hAnsi="Times New Roman" w:cs="Times New Roman"/>
          <w:sz w:val="22"/>
          <w:szCs w:val="22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FTP</w:t>
      </w:r>
      <w:r>
        <w:rPr>
          <w:rFonts w:hint="default" w:ascii="Times New Roman" w:hAnsi="Times New Roman" w:cs="Times New Roman"/>
          <w:sz w:val="22"/>
          <w:szCs w:val="22"/>
        </w:rPr>
        <w:t xml:space="preserve"> 5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e</w:t>
      </w:r>
      <w:r>
        <w:rPr>
          <w:rFonts w:hint="default" w:ascii="Times New Roman" w:hAnsi="Times New Roman" w:cs="Times New Roman"/>
          <w:sz w:val="22"/>
          <w:szCs w:val="22"/>
        </w:rPr>
        <w:t xml:space="preserve"> и выше). 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 </w:t>
      </w:r>
      <w:bookmarkStart w:id="28" w:name="_Toc525919768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безопасности</w:t>
      </w:r>
      <w:bookmarkEnd w:id="28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В части требований безопасности станции должны соответствовать ГОСТ 12.2.007.6-93.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По способу защиты человека от поражения электрическим током станции должны соответствовать классу I по ГОСТ 12.2.007.0-75.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станции должен быть нанесен предупреждающий знак «Осторожно! Электрическое напряжение» по ГОСТ 12.4.026-76.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В конструкции оборудования не допускается применение легковоспламеняющихся материалов и должно быть максимально снижено применение горючих материалов.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Защита персонала, обслуживающего станции, от поражения электрическим током должна быть обеспечена как при нормальной работе, так и в случаях возникновения неисправностей. 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Все передние панели шкафов и боксов должны закрываться на механические замки. Тип ключа и количество замков должны определяться в зависимости от назначения оборудования.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Для предотвращения случайного прикосновения к токопроводящим частям электрооборудования, которое остаются под напряжением после отключения вводного выключателя, эти части должны быть закрыты индивидуальными крышками и (или) экранами. На таких специальных крышках и экранах должен быть нанесен предупреждающий знак «Осторожно! Электрическое напряжение» по ГОСТ 12.4.026-76. 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 </w:t>
      </w:r>
      <w:bookmarkStart w:id="29" w:name="_Toc525919769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надежности</w:t>
      </w:r>
      <w:bookmarkEnd w:id="29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Средняя наработка на отказ АСУ НС должна быть не менее 10000 ч. Критерием отказа является прекращение выполнения НС одной из заданных настоящими требованиями функций.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Долговечность определяется полным средним сроком службы не менее 10 лет.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Критерием предельного состояния является физический износ, при котором восстановительный ремонт является экономически нецелесообразным. </w:t>
      </w:r>
    </w:p>
    <w:p>
      <w:pPr>
        <w:tabs>
          <w:tab w:val="left" w:pos="1134"/>
        </w:tabs>
        <w:spacing w:after="32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Среднее время восстановления устройства при неисправностях должно быть не более 2 ч. при наличии необходимых ЗИП и средств ремонта. 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30" w:name="_Toc525919770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ЗИП</w:t>
      </w:r>
      <w:bookmarkEnd w:id="30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Требования к ЗИП основываются исходя из расчета надежности с целью обеспечения заявленных параметров.  </w:t>
      </w:r>
    </w:p>
    <w:p>
      <w:pPr>
        <w:tabs>
          <w:tab w:val="left" w:pos="1134"/>
        </w:tabs>
        <w:spacing w:after="160" w:line="360" w:lineRule="auto"/>
        <w:ind w:firstLine="567"/>
        <w:contextualSpacing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Поставляемый ЗИП должен соответствовать требованиям, указанным в проекте. Если в проекте требования к ЗИП не указаны, то объем ЗИП должен определяться исходя из категорийности объекта и объема поставки.</w:t>
      </w:r>
    </w:p>
    <w:p>
      <w:pPr>
        <w:keepNext/>
        <w:keepLines/>
        <w:tabs>
          <w:tab w:val="left" w:pos="1134"/>
        </w:tabs>
        <w:spacing w:before="360" w:after="120" w:line="360" w:lineRule="auto"/>
        <w:ind w:firstLine="567"/>
        <w:contextualSpacing/>
        <w:outlineLvl w:val="0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31" w:name="_Toc525919771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видам обеспечения</w:t>
      </w:r>
      <w:bookmarkEnd w:id="31"/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32" w:name="_Toc525919772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Математическое обеспечение</w:t>
      </w:r>
      <w:bookmarkEnd w:id="32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shd w:val="clear" w:color="auto" w:fill="00FF00"/>
        </w:rPr>
      </w:pPr>
      <w:r>
        <w:rPr>
          <w:rFonts w:hint="default" w:ascii="Times New Roman" w:hAnsi="Times New Roman" w:cs="Times New Roman"/>
          <w:sz w:val="22"/>
          <w:szCs w:val="22"/>
        </w:rPr>
        <w:t>Для управления технологическим оборудованием в составе всех подсистем НС необходимо применять современные алгоритмы управления, основанные на:</w:t>
      </w:r>
    </w:p>
    <w:p>
      <w:pPr>
        <w:numPr>
          <w:ilvl w:val="0"/>
          <w:numId w:val="3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shd w:val="clear" w:color="auto" w:fill="00FF00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определении фактического энергопотребления насосного оборудования в реальном времени и расчете оптимальных режимов его работы;</w:t>
      </w:r>
    </w:p>
    <w:p>
      <w:pPr>
        <w:numPr>
          <w:ilvl w:val="0"/>
          <w:numId w:val="35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прогнозировании изменения динамики поступления сточных вод по конкретной станции водоотведения в течение суток.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Для расчетов прогнозируемых значений в различных режимах должна использоваться архивируемая информация о работе системы. При вводе системы в эксплуатацию в качестве опорной должна быть использована информация, полученная за период пуско-наладочных работ.</w:t>
      </w:r>
    </w:p>
    <w:p>
      <w:pPr>
        <w:tabs>
          <w:tab w:val="left" w:pos="1134"/>
        </w:tabs>
        <w:spacing w:after="120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sz w:val="22"/>
          <w:szCs w:val="22"/>
        </w:rPr>
        <w:t>Все алгоритмы и математические модели системы должны быть согласованы с Заказчиком на этапе разработки проектной документации.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33" w:name="_Toc525919773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Информационное обеспечение</w:t>
      </w:r>
      <w:bookmarkEnd w:id="33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Требования к информационному обеспечению для всех структурных и функциональных частей АСУ нижнего, среднего и верхнего уровня:</w:t>
      </w:r>
    </w:p>
    <w:p>
      <w:pPr>
        <w:numPr>
          <w:ilvl w:val="0"/>
          <w:numId w:val="36"/>
        </w:numPr>
        <w:tabs>
          <w:tab w:val="left" w:pos="-2127"/>
          <w:tab w:val="left" w:pos="284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информационная интеграция – создание взаимосвязанной системы информационного обеспечения;</w:t>
      </w:r>
    </w:p>
    <w:p>
      <w:pPr>
        <w:numPr>
          <w:ilvl w:val="0"/>
          <w:numId w:val="36"/>
        </w:numPr>
        <w:tabs>
          <w:tab w:val="left" w:pos="-2127"/>
          <w:tab w:val="left" w:pos="284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принцип одноразового ввода информации в АСУ и многократного ее использования;</w:t>
      </w:r>
    </w:p>
    <w:p>
      <w:pPr>
        <w:numPr>
          <w:ilvl w:val="0"/>
          <w:numId w:val="36"/>
        </w:numPr>
        <w:tabs>
          <w:tab w:val="left" w:pos="-2127"/>
          <w:tab w:val="left" w:pos="284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принцип единства технологической информации;</w:t>
      </w:r>
    </w:p>
    <w:p>
      <w:pPr>
        <w:numPr>
          <w:ilvl w:val="0"/>
          <w:numId w:val="36"/>
        </w:numPr>
        <w:tabs>
          <w:tab w:val="left" w:pos="-2127"/>
          <w:tab w:val="left" w:pos="284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принцип единства технических средств ввода, хранения, обработки и передачи информации;</w:t>
      </w:r>
    </w:p>
    <w:p>
      <w:pPr>
        <w:numPr>
          <w:ilvl w:val="0"/>
          <w:numId w:val="36"/>
        </w:numPr>
        <w:tabs>
          <w:tab w:val="left" w:pos="-2127"/>
          <w:tab w:val="left" w:pos="284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обеспечение контроля прав доступа к информации и функциям управления в соответствии с ролями пользователей и сценариями использования системы;</w:t>
      </w:r>
    </w:p>
    <w:p>
      <w:pPr>
        <w:numPr>
          <w:ilvl w:val="0"/>
          <w:numId w:val="36"/>
        </w:numPr>
        <w:tabs>
          <w:tab w:val="left" w:pos="-2127"/>
          <w:tab w:val="left" w:pos="284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sz w:val="22"/>
          <w:szCs w:val="22"/>
        </w:rPr>
        <w:t>обеспечение достоверности вводимой информации в АСУ;</w:t>
      </w:r>
    </w:p>
    <w:p>
      <w:pPr>
        <w:numPr>
          <w:ilvl w:val="0"/>
          <w:numId w:val="36"/>
        </w:numPr>
        <w:tabs>
          <w:tab w:val="left" w:pos="-2127"/>
          <w:tab w:val="left" w:pos="284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sz w:val="22"/>
          <w:szCs w:val="22"/>
        </w:rPr>
        <w:t>обеспечение информационной безопасности в соответствии с действующей НД;</w:t>
      </w:r>
    </w:p>
    <w:p>
      <w:pPr>
        <w:numPr>
          <w:ilvl w:val="0"/>
          <w:numId w:val="36"/>
        </w:numPr>
        <w:tabs>
          <w:tab w:val="left" w:pos="-2127"/>
          <w:tab w:val="left" w:pos="284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sz w:val="22"/>
          <w:szCs w:val="22"/>
        </w:rPr>
        <w:t>функционирование системы в едином временном поле с уходом времени не более 10 мс в сутки, корректировка часов реального времени по ежесуточным меткам времени от АСУ верхнего уровня.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34" w:name="_Toc525919774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Программное обеспечение</w:t>
      </w:r>
      <w:bookmarkEnd w:id="34"/>
    </w:p>
    <w:p>
      <w:pPr>
        <w:keepNext/>
        <w:keepLines/>
        <w:numPr>
          <w:ilvl w:val="2"/>
          <w:numId w:val="24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 </w:t>
      </w:r>
      <w:bookmarkStart w:id="35" w:name="_Toc525919775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Программное обеспечение ПЛК</w:t>
      </w:r>
      <w:bookmarkEnd w:id="35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Программное обеспечение ПЛК должно разрабатываться в операционной системе Microsoft Windows 7 и выше в специализированных пакетах разработки, соответствующих стандартам МЭК 61131-3 с поддержкой: Ladder Diagram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LD</w:t>
      </w:r>
      <w:r>
        <w:rPr>
          <w:rFonts w:hint="default" w:ascii="Times New Roman" w:hAnsi="Times New Roman" w:cs="Times New Roman"/>
          <w:sz w:val="22"/>
          <w:szCs w:val="22"/>
        </w:rPr>
        <w:t xml:space="preserve">), Function Block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Diagram</w:t>
      </w:r>
      <w:r>
        <w:rPr>
          <w:rFonts w:hint="default" w:ascii="Times New Roman" w:hAnsi="Times New Roman" w:cs="Times New Roman"/>
          <w:sz w:val="22"/>
          <w:szCs w:val="22"/>
        </w:rPr>
        <w:t xml:space="preserve">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FBD</w:t>
      </w:r>
      <w:r>
        <w:rPr>
          <w:rFonts w:hint="default" w:ascii="Times New Roman" w:hAnsi="Times New Roman" w:cs="Times New Roman"/>
          <w:sz w:val="22"/>
          <w:szCs w:val="22"/>
        </w:rPr>
        <w:t>), Structured Text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ST</w:t>
      </w:r>
      <w:r>
        <w:rPr>
          <w:rFonts w:hint="default" w:ascii="Times New Roman" w:hAnsi="Times New Roman" w:cs="Times New Roman"/>
          <w:sz w:val="22"/>
          <w:szCs w:val="22"/>
        </w:rPr>
        <w:t>), Instruction List (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IL</w:t>
      </w:r>
      <w:r>
        <w:rPr>
          <w:rFonts w:hint="default" w:ascii="Times New Roman" w:hAnsi="Times New Roman" w:cs="Times New Roman"/>
          <w:sz w:val="22"/>
          <w:szCs w:val="22"/>
        </w:rPr>
        <w:t xml:space="preserve">). 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Программное обеспечение должно быть открыто для обученного персонала Заказчика соответствующей квалификации. При поставке системы должно предусматриваться обучение персонала Заказчика основам программирования и диагностики ПО системы, а также должны быть предоставлены резервные копии проектов установленного программного обеспечения ПЛК и все необходимые средства для их установки. Программный и функциональный код проекта должны иметь развернутые комментарии на русском языке.</w:t>
      </w:r>
    </w:p>
    <w:p>
      <w:pPr>
        <w:keepNext/>
        <w:keepLines/>
        <w:numPr>
          <w:ilvl w:val="2"/>
          <w:numId w:val="24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  <w:lang w:val="en-US"/>
        </w:rPr>
      </w:pPr>
      <w:bookmarkStart w:id="36" w:name="_Toc525919776"/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en-US"/>
        </w:rPr>
        <w:t>SCADA</w:t>
      </w:r>
      <w:bookmarkEnd w:id="36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en-US"/>
        </w:rPr>
        <w:t>SCADA</w:t>
      </w:r>
      <w:r>
        <w:rPr>
          <w:rFonts w:hint="default" w:ascii="Times New Roman" w:hAnsi="Times New Roman" w:cs="Times New Roman"/>
          <w:sz w:val="22"/>
          <w:szCs w:val="22"/>
        </w:rPr>
        <w:t xml:space="preserve"> должна быть реализована на базе серийного ПО с возможностью его дальнейшей конфигурации.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Все программные решения, разработанные на этапе проектирования, должны иметь нормативную и методическую документацию и быть согласованы с Заказчиком.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shd w:val="clear" w:color="auto" w:fill="00FF00"/>
        </w:rPr>
      </w:pPr>
      <w:r>
        <w:rPr>
          <w:rFonts w:hint="default" w:ascii="Times New Roman" w:hAnsi="Times New Roman" w:cs="Times New Roman"/>
          <w:sz w:val="22"/>
          <w:szCs w:val="22"/>
        </w:rPr>
        <w:t>SCADA должна обеспечивать: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shd w:val="clear" w:color="auto" w:fill="00FF00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возможность двустороннего обмена данными с локальными АСУ объектов и ШДТ по протоколу стандарта ГОСТ Р 60870-104;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shd w:val="clear" w:color="auto" w:fill="00FF00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возможность создания паспортов НС, содержащих детальную информацию о основном технологическом оборудовании НС с указанием параметров;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создание нескольких АРМ на одном уровне управления, используя технологию «клиент-сервер»;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возможность реализации нескольких ролей операторов с различными правами доступа и сценариями использования системой в зависимости от функционального назначения АРМ (оперативно-дежурный персонал, технологи, ИТР и т.д.);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возможность протоколирования событий по мере поступления;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архивирование аналоговых данных с требуемым минимальным периодом записи в объеме, предусматриваемом стандартными средствами системы; 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представление протокола событий в принятом формате (с указанием метки времени, идентификатора и текста сигнала/статуса);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представление аналоговых архивов в виде трендов (в табличной и графической форме);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наличие графического редактора для создания мнемосхем представления информации;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использование библиотеки графических объектов, средства создания оригинальных графических объектов;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открытость системы, возможность расширения своих функций путем включения модулей, драйверов внешних устройств, каналов связи и других программных средств, разработанных сотрудниками Заказчика;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shd w:val="clear" w:color="auto" w:fill="00FF00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дифференцированные возможности разграничения доступа к различным функциям ПО;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shd w:val="clear" w:color="auto" w:fill="00FF00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соответствие действующей НД в области информационной безопасности;</w:t>
      </w:r>
    </w:p>
    <w:p>
      <w:pPr>
        <w:numPr>
          <w:ilvl w:val="0"/>
          <w:numId w:val="37"/>
        </w:numPr>
        <w:tabs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shd w:val="clear" w:color="auto" w:fill="00FF00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при наличии обоснованной технической необходимости по согласованию с Заказчиком возможна реализация ГИС-модуля для отображения всех объектов на масштабируемой карте с привязкой к географическим координатам.</w:t>
      </w:r>
    </w:p>
    <w:p>
      <w:pPr>
        <w:keepNext/>
        <w:keepLines/>
        <w:numPr>
          <w:ilvl w:val="2"/>
          <w:numId w:val="24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37" w:name="_Toc525919777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БД и СУБД</w:t>
      </w:r>
      <w:bookmarkEnd w:id="37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 составе АСУ верхнего уровня должна быть создана логическая единая, структурированная база данных, содержащая статическую и динамическую информацию.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Основные массивы данных:</w:t>
      </w:r>
    </w:p>
    <w:p>
      <w:pPr>
        <w:numPr>
          <w:ilvl w:val="0"/>
          <w:numId w:val="38"/>
        </w:numPr>
        <w:tabs>
          <w:tab w:val="left" w:pos="680"/>
          <w:tab w:val="left" w:pos="107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база оперативных входных данных;</w:t>
      </w:r>
    </w:p>
    <w:p>
      <w:pPr>
        <w:numPr>
          <w:ilvl w:val="0"/>
          <w:numId w:val="38"/>
        </w:numPr>
        <w:tabs>
          <w:tab w:val="left" w:pos="680"/>
          <w:tab w:val="left" w:pos="107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база вычисляемых данных и событий;</w:t>
      </w:r>
    </w:p>
    <w:p>
      <w:pPr>
        <w:numPr>
          <w:ilvl w:val="0"/>
          <w:numId w:val="38"/>
        </w:numPr>
        <w:tabs>
          <w:tab w:val="left" w:pos="680"/>
          <w:tab w:val="left" w:pos="107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база архивных данных;</w:t>
      </w:r>
    </w:p>
    <w:p>
      <w:pPr>
        <w:numPr>
          <w:ilvl w:val="0"/>
          <w:numId w:val="38"/>
        </w:numPr>
        <w:tabs>
          <w:tab w:val="left" w:pos="680"/>
          <w:tab w:val="left" w:pos="1070"/>
          <w:tab w:val="left" w:pos="1134"/>
        </w:tabs>
        <w:spacing w:after="160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>база нормативно-справочной информации (паспортная информация по установленному оборудованию, нормативная информация по проведению регламентных работ) и др.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Динамическая информация должна включать текущие значения технологических параметров и состояния дискретных объектов, а также другую информацию, постоянно регистрируемую в процессе работы системы.</w:t>
      </w:r>
    </w:p>
    <w:p>
      <w:pPr>
        <w:tabs>
          <w:tab w:val="left" w:pos="1134"/>
        </w:tabs>
        <w:spacing w:after="120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sz w:val="22"/>
          <w:szCs w:val="22"/>
        </w:rPr>
        <w:t>Инкрементальное резервное копирование БД должно осуществляться не реже 1 раза в сутки. Полное резервное копирование БД должно осуществляться не реже 1 раза в месяц.</w:t>
      </w:r>
    </w:p>
    <w:p>
      <w:pPr>
        <w:keepNext/>
        <w:keepLines/>
        <w:numPr>
          <w:ilvl w:val="2"/>
          <w:numId w:val="24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38" w:name="_Toc525919778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к прикладному ПО</w:t>
      </w:r>
      <w:bookmarkEnd w:id="38"/>
    </w:p>
    <w:p>
      <w:pPr>
        <w:tabs>
          <w:tab w:val="left" w:pos="1134"/>
        </w:tabs>
        <w:spacing w:after="120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Все приложения должны иметь современный русскоязычный графический интерфейс. Должна быть реализована русскоязычная контекстная система подсказок. Для каждого приложения должно быть подробное описание ошибок и действий, для их устранения.</w:t>
      </w:r>
    </w:p>
    <w:p>
      <w:pPr>
        <w:tabs>
          <w:tab w:val="left" w:pos="1134"/>
        </w:tabs>
        <w:spacing w:after="120"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sz w:val="22"/>
          <w:szCs w:val="22"/>
        </w:rPr>
        <w:t>Состав и функционал пакета прикладного ПО определяются требованиями к АРМ в зависимости от его функционального назначения в контексте комплексной эксплуатации АСУ системы ВиВ.</w:t>
      </w:r>
    </w:p>
    <w:p>
      <w:pPr>
        <w:keepNext/>
        <w:keepLines/>
        <w:tabs>
          <w:tab w:val="left" w:pos="1134"/>
        </w:tabs>
        <w:spacing w:before="360" w:after="120" w:line="360" w:lineRule="auto"/>
        <w:ind w:firstLine="567"/>
        <w:contextualSpacing/>
        <w:outlineLvl w:val="0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39" w:name="_Toc525919779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Требования по интеграции типовой АСУ НС и верхнего уровня АСУ системы ВиВ</w:t>
      </w:r>
      <w:bookmarkEnd w:id="39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Связь между системами управления каждой насосной станции, диктующими точками и верхним уровнем АСУ ТП должна осуществляться как по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GSM</w:t>
      </w:r>
      <w:r>
        <w:rPr>
          <w:rFonts w:hint="default" w:ascii="Times New Roman" w:hAnsi="Times New Roman" w:cs="Times New Roman"/>
          <w:sz w:val="22"/>
          <w:szCs w:val="22"/>
        </w:rPr>
        <w:t xml:space="preserve"> каналам связи с использованием стандартного телеметрического протокола ГОСТ-Р 60870-5-104, обеспечивающим передачу данных с меткой времени, так и по проводным (кабельным, ВОЛС) каналам связи. В случае невозможности передачи информации на верхний уровень АСУ ТП, контроллерное оборудование должно осуществить архивирование данных на время не менее 48 часов до успешного выхода на связь с сервером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SCADA</w:t>
      </w:r>
      <w:r>
        <w:rPr>
          <w:rFonts w:hint="default" w:ascii="Times New Roman" w:hAnsi="Times New Roman" w:cs="Times New Roman"/>
          <w:sz w:val="22"/>
          <w:szCs w:val="22"/>
        </w:rPr>
        <w:t>. Для каналов передачи данных обеспечить защиту от несанкционированного программного и аппаратного доступа в соответствии с действующими нормативными документами.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Сеть передачи данных строится следующим образом – обмен данными между сервером верхнего уровня АСУ ТП и объектами осуществляется через сеть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 w:eastAsia="ar-SA"/>
        </w:rPr>
        <w:t>VPN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, организованную по протоколам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 w:eastAsia="ar-SA"/>
        </w:rPr>
        <w:t>GSM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 на базе сотового оператора, либо посредством проводных каналов связи, доступ к серверу АРМ осуществляется как по локальной сети предприятия, так и через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 w:eastAsia="ar-SA"/>
        </w:rPr>
        <w:t>RDP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 соединение при помощи интерфейсной части ПО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 w:eastAsia="ar-SA"/>
        </w:rPr>
        <w:t>SCADA</w:t>
      </w:r>
      <w:r>
        <w:rPr>
          <w:rFonts w:hint="default" w:ascii="Times New Roman" w:hAnsi="Times New Roman" w:cs="Times New Roman"/>
          <w:color w:val="auto"/>
          <w:sz w:val="22"/>
          <w:szCs w:val="22"/>
          <w:lang w:eastAsia="ar-SA"/>
        </w:rPr>
        <w:t xml:space="preserve"> верхнего уровня АСУ ТП.</w:t>
      </w:r>
    </w:p>
    <w:p>
      <w:pPr>
        <w:keepNext/>
        <w:keepLines/>
        <w:numPr>
          <w:ilvl w:val="1"/>
          <w:numId w:val="23"/>
        </w:numPr>
        <w:tabs>
          <w:tab w:val="left" w:pos="1134"/>
        </w:tabs>
        <w:spacing w:after="160" w:line="360" w:lineRule="auto"/>
        <w:ind w:left="0" w:firstLine="567"/>
        <w:contextualSpacing/>
        <w:outlineLvl w:val="1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40" w:name="_Toc525919780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Устройства для сбора и передачи данных. Протокол передачи данных</w:t>
      </w:r>
      <w:bookmarkEnd w:id="40"/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Для двусторонней передачи данных с верхним уровнем АСУ, НС должны комплектоваться универсальными устройствами сбора и передачи данных (УСПД) со следующими характеристиками: </w:t>
      </w:r>
    </w:p>
    <w:p>
      <w:pPr>
        <w:numPr>
          <w:ilvl w:val="0"/>
          <w:numId w:val="3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Система передачи данных – сотовая связь стандарта GSM с частотами 850, 900, 1800, 1900 МГц; </w:t>
      </w:r>
    </w:p>
    <w:p>
      <w:pPr>
        <w:numPr>
          <w:ilvl w:val="0"/>
          <w:numId w:val="3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Протокол передачи данных на верхний уровень по ГОСТ Р 60870-5-104 (с предоставлением формуляра согласования протокола); </w:t>
      </w:r>
    </w:p>
    <w:p>
      <w:pPr>
        <w:numPr>
          <w:ilvl w:val="0"/>
          <w:numId w:val="3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Поддерживать протокол ГОСТ Р 60870-5-104: чтение данных реального времени, чтение архивных данных с меткой времени, передача команд телеуправления; </w:t>
      </w:r>
    </w:p>
    <w:p>
      <w:pPr>
        <w:numPr>
          <w:ilvl w:val="0"/>
          <w:numId w:val="3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Поддерживать режимы передачи данных: циклический, спонтанный, по запросу; </w:t>
      </w:r>
    </w:p>
    <w:p>
      <w:pPr>
        <w:numPr>
          <w:ilvl w:val="0"/>
          <w:numId w:val="3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Поддержка карт памяти: SD карта, для архивации данных в случае обрыва соединения; </w:t>
      </w:r>
    </w:p>
    <w:p>
      <w:pPr>
        <w:numPr>
          <w:ilvl w:val="0"/>
          <w:numId w:val="39"/>
        </w:numPr>
        <w:tabs>
          <w:tab w:val="left" w:pos="1134"/>
        </w:tabs>
        <w:spacing w:after="35" w:line="360" w:lineRule="auto"/>
        <w:ind w:left="0"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Поддержка «прозрачного» режима для удаленного доступа и подробной диагностики системы средствами ПЛК.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Возможна реализация передачи данных с помощью встроенных средств программируемого логического контроллера. При этом должен быть реализован полный функционал согласно требований к УСПД.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Исполнитель должен предоставить Формуляр согласования приема/передачи данных согласно ГОСТ Р 60870-5-104-2004.  </w:t>
      </w:r>
    </w:p>
    <w:p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Тестирование на соответствие телеметрического протокола заявленным показателям производится в соответствии с разделом «Методика проведения тестирования на соответствие протоколу передачи данных ГОСТ Р МЭК 60870-5-104». Результаты тестирования оформляются утвержденным документом – протоколом проверки передачи параметров НС.</w:t>
      </w:r>
    </w:p>
    <w:p>
      <w:pPr>
        <w:spacing w:after="160" w:line="259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br w:type="page"/>
      </w:r>
    </w:p>
    <w:p>
      <w:pPr>
        <w:keepNext/>
        <w:keepLines/>
        <w:tabs>
          <w:tab w:val="left" w:pos="993"/>
        </w:tabs>
        <w:spacing w:before="360" w:after="120" w:line="100" w:lineRule="atLeast"/>
        <w:ind w:firstLine="567"/>
        <w:outlineLvl w:val="0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bookmarkStart w:id="41" w:name="_Toc525919781"/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Перечень используемой нормативной документации</w:t>
      </w:r>
      <w:bookmarkEnd w:id="41"/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Техническое задании на ПИР (Распоряжение №0937-3 от 25.07.2018 г.)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ГОСТ 24.104-85 «Единая система стандартов автоматизированных систем управления. Автоматизированные системы управления. Общие требования»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 xml:space="preserve">ГОСТ </w:t>
      </w: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val="en-US" w:eastAsia="en-US"/>
        </w:rPr>
        <w:t>IEC</w:t>
      </w: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 xml:space="preserve"> 61140-2012 «Защита от поражения электрическим током. Общие положения безопасности установок и оборудования»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ТР ТС 004/2011 «О безопасности низковольтного оборудования»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ТР ТС 020/2011 «Электромагнитная совместимость технических средств»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ГОСТ 12.2.007.0-75 «Система стандартов безопасности труда (ССБТ). Изделия электротехнические. Общие требования безопасности (с Изменениями N 1…4)»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ГОСТ 25861-83 (СТ СЭВ 3743-82) «Машины вычислительные и системы обработки данных. Требования электрической и механической безопасности и методы испытаний»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ГОСТ 12.1.030-81 «Электробезопасность. Защитное заземление. Зануление»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СП 5.13130.2009 «Системы противопожарной защиты. Установки пожарной сигнализации и пожаротушения автоматические. Нормы и правила проектирования»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СП 8.13130.2009 «Системы противопожарной защиты. Источники противопожарного водоснабжения. Требования пожарной безопасности»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ГОСТ 30331.1-2013 (IEC 60364-1:2005) «Электроустановки низковольтные. Часть 1. Основные положения, оценка общих характеристик, термины и определения»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ГОСТ Р 60870-5-104 «Устройства и системы телемеханики. Часть 5. Протоколы передачи»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 xml:space="preserve">ГОСТ 14254-2015 (IEC 60529:2013) «Степени защиты, обеспечиваемые оболочками (код </w:t>
      </w: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val="en-US" w:eastAsia="en-US"/>
        </w:rPr>
        <w:t>IP</w:t>
      </w: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)»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ГОСТ 25150-82 «Канализация. Термины и определения»</w:t>
      </w:r>
    </w:p>
    <w:p>
      <w:pPr>
        <w:numPr>
          <w:ilvl w:val="1"/>
          <w:numId w:val="24"/>
        </w:numPr>
        <w:tabs>
          <w:tab w:val="left" w:pos="993"/>
        </w:tabs>
        <w:spacing w:after="120" w:line="360" w:lineRule="auto"/>
        <w:ind w:left="0" w:firstLine="567"/>
        <w:contextualSpacing/>
        <w:jc w:val="both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  <w:t>ГОСТ Р МЭК 61131-3-2016 «Контроллеры программируемые. Часть 3. Языки программирования»</w:t>
      </w:r>
    </w:p>
    <w:p>
      <w:pPr>
        <w:tabs>
          <w:tab w:val="left" w:pos="1134"/>
        </w:tabs>
        <w:spacing w:after="160" w:line="259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p>
      <w:pPr>
        <w:spacing w:line="360" w:lineRule="auto"/>
        <w:contextualSpacing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line="276" w:lineRule="auto"/>
        <w:rPr>
          <w:rFonts w:hint="default" w:ascii="Times New Roman" w:hAnsi="Times New Roman" w:eastAsia="Calibri" w:cs="Times New Roman"/>
          <w:color w:val="auto"/>
          <w:sz w:val="22"/>
          <w:szCs w:val="22"/>
          <w:lang w:eastAsia="en-US"/>
        </w:rPr>
      </w:pPr>
    </w:p>
    <w:sectPr>
      <w:headerReference r:id="rId3" w:type="default"/>
      <w:footerReference r:id="rId4" w:type="even"/>
      <w:pgSz w:w="11906" w:h="16838"/>
      <w:pgMar w:top="850" w:right="850" w:bottom="567" w:left="1134" w:header="709" w:footer="709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S Mincho">
    <w:altName w:val="Segoe Print"/>
    <w:panose1 w:val="02020603050405090304"/>
    <w:charset w:val="00"/>
    <w:family w:val="auto"/>
    <w:pitch w:val="default"/>
    <w:sig w:usb0="00000000" w:usb1="00000000" w:usb2="00000000" w:usb3="00000000" w:csb0="00000000" w:csb1="00000000"/>
  </w:font>
  <w:font w:name="Franklin Gothic Book">
    <w:altName w:val="Segoe Print"/>
    <w:panose1 w:val="020B0606020202030204"/>
    <w:charset w:val="00"/>
    <w:family w:val="auto"/>
    <w:pitch w:val="default"/>
    <w:sig w:usb0="00000000" w:usb1="00000000" w:usb2="00000000" w:usb3="00000000" w:csb0="00000000" w:csb1="00000000"/>
  </w:font>
  <w:font w:name="Times New Roman CY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Hel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center" w:y="1"/>
      <w:rPr>
        <w:rStyle w:val="50"/>
      </w:rPr>
    </w:pPr>
    <w:r>
      <w:rPr>
        <w:rStyle w:val="50"/>
      </w:rPr>
      <w:fldChar w:fldCharType="begin"/>
    </w:r>
    <w:r>
      <w:rPr>
        <w:rStyle w:val="50"/>
      </w:rPr>
      <w:instrText xml:space="preserve">PAGE  </w:instrText>
    </w:r>
    <w:r>
      <w:rPr>
        <w:rStyle w:val="50"/>
      </w:rPr>
      <w:fldChar w:fldCharType="end"/>
    </w:r>
  </w:p>
  <w:p>
    <w:pPr>
      <w:pStyle w:val="3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sz w:val="18"/>
        <w:szCs w:val="18"/>
      </w:rPr>
    </w:pPr>
  </w:p>
  <w:p>
    <w:pPr>
      <w:pStyle w:val="2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5B5372"/>
    <w:multiLevelType w:val="multilevel"/>
    <w:tmpl w:val="845B5372"/>
    <w:lvl w:ilvl="0" w:tentative="0">
      <w:start w:val="1"/>
      <w:numFmt w:val="bullet"/>
      <w:lvlText w:val=""/>
      <w:lvlJc w:val="left"/>
      <w:pPr>
        <w:tabs>
          <w:tab w:val="left" w:pos="1418"/>
        </w:tabs>
        <w:ind w:left="1418" w:hanging="397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nsid w:val="91995D4F"/>
    <w:multiLevelType w:val="multilevel"/>
    <w:tmpl w:val="91995D4F"/>
    <w:lvl w:ilvl="0" w:tentative="0">
      <w:start w:val="1"/>
      <w:numFmt w:val="decimal"/>
      <w:pStyle w:val="370"/>
      <w:lvlText w:val="%1."/>
      <w:lvlJc w:val="left"/>
      <w:pPr>
        <w:tabs>
          <w:tab w:val="left" w:pos="753"/>
        </w:tabs>
        <w:ind w:left="753" w:hanging="360"/>
      </w:pPr>
      <w:rPr>
        <w:b/>
        <w:color w:val="000000"/>
      </w:rPr>
    </w:lvl>
    <w:lvl w:ilvl="1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A0F05207"/>
    <w:multiLevelType w:val="multilevel"/>
    <w:tmpl w:val="A0F05207"/>
    <w:lvl w:ilvl="0" w:tentative="0">
      <w:start w:val="1"/>
      <w:numFmt w:val="bullet"/>
      <w:lvlText w:val="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B23A94A9"/>
    <w:multiLevelType w:val="multilevel"/>
    <w:tmpl w:val="B23A94A9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B53F3350"/>
    <w:multiLevelType w:val="multilevel"/>
    <w:tmpl w:val="B53F3350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B8CEF35B"/>
    <w:multiLevelType w:val="multilevel"/>
    <w:tmpl w:val="B8CEF35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BB64CFA9"/>
    <w:multiLevelType w:val="multilevel"/>
    <w:tmpl w:val="BB64CFA9"/>
    <w:lvl w:ilvl="0" w:tentative="0">
      <w:start w:val="1"/>
      <w:numFmt w:val="bullet"/>
      <w:pStyle w:val="369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C0915F4F"/>
    <w:multiLevelType w:val="multilevel"/>
    <w:tmpl w:val="C0915F4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D7D140E4"/>
    <w:multiLevelType w:val="multilevel"/>
    <w:tmpl w:val="D7D140E4"/>
    <w:lvl w:ilvl="0" w:tentative="0">
      <w:start w:val="1"/>
      <w:numFmt w:val="bullet"/>
      <w:lvlText w:val=""/>
      <w:lvlJc w:val="left"/>
      <w:pPr>
        <w:tabs>
          <w:tab w:val="left" w:pos="1800"/>
        </w:tabs>
        <w:ind w:left="21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840"/>
        </w:tabs>
        <w:ind w:left="68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560"/>
        </w:tabs>
        <w:ind w:left="7560" w:hanging="360"/>
      </w:pPr>
      <w:rPr>
        <w:rFonts w:hint="default" w:ascii="Wingdings" w:hAnsi="Wingdings"/>
      </w:rPr>
    </w:lvl>
  </w:abstractNum>
  <w:abstractNum w:abstractNumId="9">
    <w:nsid w:val="E093A4B0"/>
    <w:multiLevelType w:val="multilevel"/>
    <w:tmpl w:val="E093A4B0"/>
    <w:lvl w:ilvl="0" w:tentative="0">
      <w:start w:val="1"/>
      <w:numFmt w:val="decimal"/>
      <w:pStyle w:val="300"/>
      <w:lvlText w:val="%1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pStyle w:val="270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 w:tentative="0">
      <w:start w:val="1"/>
      <w:numFmt w:val="decimal"/>
      <w:pStyle w:val="304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E504947C"/>
    <w:multiLevelType w:val="multilevel"/>
    <w:tmpl w:val="E504947C"/>
    <w:lvl w:ilvl="0" w:tentative="0">
      <w:start w:val="1"/>
      <w:numFmt w:val="bullet"/>
      <w:lvlText w:val="•"/>
      <w:lvlJc w:val="left"/>
      <w:pPr>
        <w:ind w:left="567"/>
      </w:pPr>
      <w:rPr>
        <w:rFonts w:ascii="Arial" w:hAnsi="Arial" w:eastAsia="Arial" w:cs="Aria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1647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2" w:tentative="0">
      <w:start w:val="1"/>
      <w:numFmt w:val="bullet"/>
      <w:lvlText w:val="▪"/>
      <w:lvlJc w:val="left"/>
      <w:pPr>
        <w:ind w:left="2367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3" w:tentative="0">
      <w:start w:val="1"/>
      <w:numFmt w:val="bullet"/>
      <w:lvlText w:val="•"/>
      <w:lvlJc w:val="left"/>
      <w:pPr>
        <w:ind w:left="3087"/>
      </w:pPr>
      <w:rPr>
        <w:rFonts w:ascii="Arial" w:hAnsi="Arial" w:eastAsia="Arial" w:cs="Aria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4" w:tentative="0">
      <w:start w:val="1"/>
      <w:numFmt w:val="bullet"/>
      <w:lvlText w:val="o"/>
      <w:lvlJc w:val="left"/>
      <w:pPr>
        <w:ind w:left="3807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5" w:tentative="0">
      <w:start w:val="1"/>
      <w:numFmt w:val="bullet"/>
      <w:lvlText w:val="▪"/>
      <w:lvlJc w:val="left"/>
      <w:pPr>
        <w:ind w:left="4527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6" w:tentative="0">
      <w:start w:val="1"/>
      <w:numFmt w:val="bullet"/>
      <w:lvlText w:val="•"/>
      <w:lvlJc w:val="left"/>
      <w:pPr>
        <w:ind w:left="5247"/>
      </w:pPr>
      <w:rPr>
        <w:rFonts w:ascii="Arial" w:hAnsi="Arial" w:eastAsia="Arial" w:cs="Aria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7" w:tentative="0">
      <w:start w:val="1"/>
      <w:numFmt w:val="bullet"/>
      <w:lvlText w:val="o"/>
      <w:lvlJc w:val="left"/>
      <w:pPr>
        <w:ind w:left="5967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8" w:tentative="0">
      <w:start w:val="1"/>
      <w:numFmt w:val="bullet"/>
      <w:lvlText w:val="▪"/>
      <w:lvlJc w:val="left"/>
      <w:pPr>
        <w:ind w:left="6687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</w:abstractNum>
  <w:abstractNum w:abstractNumId="11">
    <w:nsid w:val="F0E89278"/>
    <w:multiLevelType w:val="multilevel"/>
    <w:tmpl w:val="F0E8927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F689643B"/>
    <w:multiLevelType w:val="multilevel"/>
    <w:tmpl w:val="F689643B"/>
    <w:lvl w:ilvl="0" w:tentative="0">
      <w:start w:val="1"/>
      <w:numFmt w:val="bullet"/>
      <w:lvlText w:val="•"/>
      <w:lvlJc w:val="left"/>
      <w:pPr>
        <w:ind w:left="1788"/>
      </w:pPr>
      <w:rPr>
        <w:rFonts w:ascii="Arial" w:hAnsi="Arial" w:eastAsia="Arial" w:cs="Aria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2508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2" w:tentative="0">
      <w:start w:val="1"/>
      <w:numFmt w:val="bullet"/>
      <w:lvlText w:val="▪"/>
      <w:lvlJc w:val="left"/>
      <w:pPr>
        <w:ind w:left="3228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3" w:tentative="0">
      <w:start w:val="1"/>
      <w:numFmt w:val="bullet"/>
      <w:lvlText w:val="•"/>
      <w:lvlJc w:val="left"/>
      <w:pPr>
        <w:ind w:left="3948"/>
      </w:pPr>
      <w:rPr>
        <w:rFonts w:ascii="Arial" w:hAnsi="Arial" w:eastAsia="Arial" w:cs="Aria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4" w:tentative="0">
      <w:start w:val="1"/>
      <w:numFmt w:val="bullet"/>
      <w:lvlText w:val="o"/>
      <w:lvlJc w:val="left"/>
      <w:pPr>
        <w:ind w:left="4668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5" w:tentative="0">
      <w:start w:val="1"/>
      <w:numFmt w:val="bullet"/>
      <w:lvlText w:val="▪"/>
      <w:lvlJc w:val="left"/>
      <w:pPr>
        <w:ind w:left="5388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6" w:tentative="0">
      <w:start w:val="1"/>
      <w:numFmt w:val="bullet"/>
      <w:lvlText w:val="•"/>
      <w:lvlJc w:val="left"/>
      <w:pPr>
        <w:ind w:left="6108"/>
      </w:pPr>
      <w:rPr>
        <w:rFonts w:ascii="Arial" w:hAnsi="Arial" w:eastAsia="Arial" w:cs="Aria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7" w:tentative="0">
      <w:start w:val="1"/>
      <w:numFmt w:val="bullet"/>
      <w:lvlText w:val="o"/>
      <w:lvlJc w:val="left"/>
      <w:pPr>
        <w:ind w:left="6828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  <w:lvl w:ilvl="8" w:tentative="0">
      <w:start w:val="1"/>
      <w:numFmt w:val="bullet"/>
      <w:lvlText w:val="▪"/>
      <w:lvlJc w:val="left"/>
      <w:pPr>
        <w:ind w:left="7548"/>
      </w:pPr>
      <w:rPr>
        <w:rFonts w:ascii="Segoe UI Symbol" w:hAnsi="Segoe UI Symbol" w:eastAsia="Segoe UI Symbol" w:cs="Segoe UI Symbol"/>
        <w:b w:val="0"/>
        <w:i w:val="0"/>
        <w:strike w:val="0"/>
        <w:color w:val="000000"/>
        <w:sz w:val="22"/>
        <w:u w:val="none"/>
        <w:shd w:val="clear" w:color="auto" w:fill="auto"/>
        <w:vertAlign w:val="baseline"/>
      </w:rPr>
    </w:lvl>
  </w:abstractNum>
  <w:abstractNum w:abstractNumId="13">
    <w:nsid w:val="F7735DC9"/>
    <w:multiLevelType w:val="multilevel"/>
    <w:tmpl w:val="F7735DC9"/>
    <w:lvl w:ilvl="0" w:tentative="0">
      <w:start w:val="1"/>
      <w:numFmt w:val="decimal"/>
      <w:pStyle w:val="249"/>
      <w:lvlText w:val="%1"/>
      <w:lvlJc w:val="left"/>
      <w:pPr>
        <w:tabs>
          <w:tab w:val="left" w:pos="2292"/>
        </w:tabs>
        <w:ind w:left="2292" w:hanging="360"/>
      </w:pPr>
      <w:rPr>
        <w:rFonts w:hint="default"/>
      </w:rPr>
    </w:lvl>
    <w:lvl w:ilvl="1" w:tentative="0">
      <w:start w:val="9"/>
      <w:numFmt w:val="decimal"/>
      <w:isLgl/>
      <w:lvlText w:val="9.%2"/>
      <w:lvlJc w:val="left"/>
      <w:pPr>
        <w:tabs>
          <w:tab w:val="left" w:pos="1278"/>
        </w:tabs>
        <w:ind w:left="1278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2652"/>
        </w:tabs>
        <w:ind w:left="2652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2652"/>
        </w:tabs>
        <w:ind w:left="2652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3012"/>
        </w:tabs>
        <w:ind w:left="3012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3012"/>
        </w:tabs>
        <w:ind w:left="3012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3372"/>
        </w:tabs>
        <w:ind w:left="3372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3372"/>
        </w:tabs>
        <w:ind w:left="3372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3732"/>
        </w:tabs>
        <w:ind w:left="3732" w:hanging="1800"/>
      </w:pPr>
      <w:rPr>
        <w:rFonts w:hint="default"/>
      </w:rPr>
    </w:lvl>
  </w:abstractNum>
  <w:abstractNum w:abstractNumId="14">
    <w:nsid w:val="FEC2EA36"/>
    <w:multiLevelType w:val="multilevel"/>
    <w:tmpl w:val="FEC2EA36"/>
    <w:lvl w:ilvl="0" w:tentative="0">
      <w:start w:val="1"/>
      <w:numFmt w:val="bullet"/>
      <w:lvlText w:val=""/>
      <w:lvlJc w:val="left"/>
      <w:pPr>
        <w:ind w:left="78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5" w:hanging="360"/>
      </w:pPr>
      <w:rPr>
        <w:rFonts w:hint="default" w:ascii="Wingdings" w:hAnsi="Wingdings"/>
      </w:rPr>
    </w:lvl>
  </w:abstractNum>
  <w:abstractNum w:abstractNumId="15">
    <w:nsid w:val="03A63A41"/>
    <w:multiLevelType w:val="multilevel"/>
    <w:tmpl w:val="03A63A41"/>
    <w:lvl w:ilvl="0" w:tentative="0">
      <w:start w:val="2"/>
      <w:numFmt w:val="decimal"/>
      <w:lvlText w:val="%1"/>
      <w:lvlJc w:val="left"/>
      <w:pPr>
        <w:tabs>
          <w:tab w:val="left" w:pos="420"/>
        </w:tabs>
        <w:ind w:left="420" w:hanging="420"/>
      </w:pPr>
    </w:lvl>
    <w:lvl w:ilvl="1" w:tentative="0">
      <w:start w:val="2"/>
      <w:numFmt w:val="decimal"/>
      <w:lvlText w:val="%1.%2"/>
      <w:lvlJc w:val="left"/>
      <w:pPr>
        <w:tabs>
          <w:tab w:val="left" w:pos="1812"/>
        </w:tabs>
        <w:ind w:left="1812" w:hanging="420"/>
      </w:pPr>
    </w:lvl>
    <w:lvl w:ilvl="2" w:tentative="0">
      <w:start w:val="1"/>
      <w:numFmt w:val="decimal"/>
      <w:lvlText w:val="%1.%2.%3"/>
      <w:lvlJc w:val="left"/>
      <w:pPr>
        <w:tabs>
          <w:tab w:val="left" w:pos="3504"/>
        </w:tabs>
        <w:ind w:left="3504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4896"/>
        </w:tabs>
        <w:ind w:left="4896" w:hanging="720"/>
      </w:pPr>
    </w:lvl>
    <w:lvl w:ilvl="4" w:tentative="0">
      <w:start w:val="1"/>
      <w:numFmt w:val="decimal"/>
      <w:lvlText w:val="%1.%2.%3.%4.%5"/>
      <w:lvlJc w:val="left"/>
      <w:pPr>
        <w:tabs>
          <w:tab w:val="left" w:pos="6648"/>
        </w:tabs>
        <w:ind w:left="6648" w:hanging="1080"/>
      </w:pPr>
    </w:lvl>
    <w:lvl w:ilvl="5" w:tentative="0">
      <w:start w:val="1"/>
      <w:numFmt w:val="decimal"/>
      <w:lvlText w:val="%1.%2.%3.%4.%5.%6"/>
      <w:lvlJc w:val="left"/>
      <w:pPr>
        <w:tabs>
          <w:tab w:val="left" w:pos="8040"/>
        </w:tabs>
        <w:ind w:left="8040" w:hanging="1080"/>
      </w:pPr>
    </w:lvl>
    <w:lvl w:ilvl="6" w:tentative="0">
      <w:start w:val="1"/>
      <w:numFmt w:val="decimal"/>
      <w:lvlText w:val="%1.%2.%3.%4.%5.%6.%7"/>
      <w:lvlJc w:val="left"/>
      <w:pPr>
        <w:tabs>
          <w:tab w:val="left" w:pos="9792"/>
        </w:tabs>
        <w:ind w:left="9792" w:hanging="144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1184"/>
        </w:tabs>
        <w:ind w:left="11184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2936"/>
        </w:tabs>
        <w:ind w:left="12936" w:hanging="1800"/>
      </w:pPr>
    </w:lvl>
  </w:abstractNum>
  <w:abstractNum w:abstractNumId="16">
    <w:nsid w:val="0709FD3E"/>
    <w:multiLevelType w:val="multilevel"/>
    <w:tmpl w:val="0709FD3E"/>
    <w:lvl w:ilvl="0" w:tentative="0">
      <w:start w:val="1"/>
      <w:numFmt w:val="bullet"/>
      <w:lvlText w:val=""/>
      <w:lvlJc w:val="left"/>
      <w:pPr>
        <w:ind w:left="158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0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2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4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6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8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0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2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42" w:hanging="360"/>
      </w:pPr>
      <w:rPr>
        <w:rFonts w:hint="default" w:ascii="Wingdings" w:hAnsi="Wingdings"/>
      </w:rPr>
    </w:lvl>
  </w:abstractNum>
  <w:abstractNum w:abstractNumId="17">
    <w:nsid w:val="0CEF100B"/>
    <w:multiLevelType w:val="multilevel"/>
    <w:tmpl w:val="0CEF100B"/>
    <w:lvl w:ilvl="0" w:tentative="0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0F9F9CCA"/>
    <w:multiLevelType w:val="multilevel"/>
    <w:tmpl w:val="0F9F9CCA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12EADF99"/>
    <w:multiLevelType w:val="multilevel"/>
    <w:tmpl w:val="12EADF99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18F74015"/>
    <w:multiLevelType w:val="multilevel"/>
    <w:tmpl w:val="18F74015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21">
    <w:nsid w:val="1ACDE60F"/>
    <w:multiLevelType w:val="multilevel"/>
    <w:tmpl w:val="1ACDE60F"/>
    <w:lvl w:ilvl="0" w:tentative="0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23E97754"/>
    <w:multiLevelType w:val="multilevel"/>
    <w:tmpl w:val="23E97754"/>
    <w:lvl w:ilvl="0" w:tentative="0">
      <w:start w:val="1"/>
      <w:numFmt w:val="bullet"/>
      <w:lvlText w:val="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nsid w:val="243FCF68"/>
    <w:multiLevelType w:val="multilevel"/>
    <w:tmpl w:val="243FCF68"/>
    <w:lvl w:ilvl="0" w:tentative="0">
      <w:start w:val="1"/>
      <w:numFmt w:val="decimal"/>
      <w:pStyle w:val="3"/>
      <w:lvlText w:val="%1."/>
      <w:lvlJc w:val="left"/>
      <w:pPr>
        <w:ind w:left="284" w:firstLine="283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0A0AC00"/>
    <w:multiLevelType w:val="multilevel"/>
    <w:tmpl w:val="30A0AC00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0FC5B15"/>
    <w:multiLevelType w:val="multilevel"/>
    <w:tmpl w:val="30FC5B15"/>
    <w:lvl w:ilvl="0" w:tentative="0">
      <w:start w:val="1"/>
      <w:numFmt w:val="bullet"/>
      <w:pStyle w:val="360"/>
      <w:lvlText w:val=""/>
      <w:lvlJc w:val="left"/>
      <w:pPr>
        <w:tabs>
          <w:tab w:val="left" w:pos="1134"/>
        </w:tabs>
        <w:ind w:left="0" w:firstLine="851"/>
      </w:pPr>
      <w:rPr>
        <w:rFonts w:hint="default" w:ascii="Symbol" w:hAnsi="Symbol"/>
      </w:rPr>
    </w:lvl>
    <w:lvl w:ilvl="1" w:tentative="0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>
    <w:nsid w:val="32A7AF2D"/>
    <w:multiLevelType w:val="multilevel"/>
    <w:tmpl w:val="32A7AF2D"/>
    <w:lvl w:ilvl="0" w:tentative="0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35E83B33"/>
    <w:multiLevelType w:val="multilevel"/>
    <w:tmpl w:val="35E83B33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3B8127DF"/>
    <w:multiLevelType w:val="multilevel"/>
    <w:tmpl w:val="3B8127D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40B249F9"/>
    <w:multiLevelType w:val="multilevel"/>
    <w:tmpl w:val="40B249F9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abstractNum w:abstractNumId="30">
    <w:nsid w:val="4C3D7A74"/>
    <w:multiLevelType w:val="multilevel"/>
    <w:tmpl w:val="4C3D7A74"/>
    <w:lvl w:ilvl="0" w:tentative="0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</w:lvl>
    <w:lvl w:ilvl="2" w:tentative="0">
      <w:start w:val="1"/>
      <w:numFmt w:val="decimal"/>
      <w:lvlText w:val="%1.%2.%3"/>
      <w:lvlJc w:val="left"/>
      <w:pPr>
        <w:ind w:left="1146" w:hanging="720"/>
      </w:pPr>
    </w:lvl>
    <w:lvl w:ilvl="3" w:tentative="0">
      <w:start w:val="1"/>
      <w:numFmt w:val="decimal"/>
      <w:lvlText w:val="%1.%2.%3.%4"/>
      <w:lvlJc w:val="left"/>
      <w:pPr>
        <w:ind w:left="720" w:hanging="720"/>
      </w:pPr>
    </w:lvl>
    <w:lvl w:ilvl="4" w:tentative="0">
      <w:start w:val="1"/>
      <w:numFmt w:val="decimal"/>
      <w:lvlText w:val="%1.%2.%3.%4.%5"/>
      <w:lvlJc w:val="left"/>
      <w:pPr>
        <w:ind w:left="1080" w:hanging="1080"/>
      </w:pPr>
    </w:lvl>
    <w:lvl w:ilvl="5" w:tentative="0">
      <w:start w:val="1"/>
      <w:numFmt w:val="decimal"/>
      <w:lvlText w:val="%1.%2.%3.%4.%5.%6"/>
      <w:lvlJc w:val="left"/>
      <w:pPr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1">
    <w:nsid w:val="4D94DA66"/>
    <w:multiLevelType w:val="multilevel"/>
    <w:tmpl w:val="4D94DA66"/>
    <w:lvl w:ilvl="0" w:tentative="0">
      <w:start w:val="1"/>
      <w:numFmt w:val="decimal"/>
      <w:pStyle w:val="4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B1A7"/>
    <w:multiLevelType w:val="multilevel"/>
    <w:tmpl w:val="5FFFB1A7"/>
    <w:lvl w:ilvl="0" w:tentative="0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</w:lvl>
    <w:lvl w:ilvl="2" w:tentative="0">
      <w:start w:val="1"/>
      <w:numFmt w:val="decimal"/>
      <w:lvlText w:val="%1.%2.%3"/>
      <w:lvlJc w:val="left"/>
      <w:pPr>
        <w:ind w:left="1146" w:hanging="720"/>
      </w:pPr>
    </w:lvl>
    <w:lvl w:ilvl="3" w:tentative="0">
      <w:start w:val="1"/>
      <w:numFmt w:val="decimal"/>
      <w:lvlText w:val="%1.%2.%3.%4"/>
      <w:lvlJc w:val="left"/>
      <w:pPr>
        <w:ind w:left="720" w:hanging="720"/>
      </w:pPr>
    </w:lvl>
    <w:lvl w:ilvl="4" w:tentative="0">
      <w:start w:val="1"/>
      <w:numFmt w:val="decimal"/>
      <w:lvlText w:val="%1.%2.%3.%4.%5"/>
      <w:lvlJc w:val="left"/>
      <w:pPr>
        <w:ind w:left="1080" w:hanging="1080"/>
      </w:pPr>
    </w:lvl>
    <w:lvl w:ilvl="5" w:tentative="0">
      <w:start w:val="1"/>
      <w:numFmt w:val="decimal"/>
      <w:lvlText w:val="%1.%2.%3.%4.%5.%6"/>
      <w:lvlJc w:val="left"/>
      <w:pPr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3">
    <w:nsid w:val="65CD0074"/>
    <w:multiLevelType w:val="multilevel"/>
    <w:tmpl w:val="65CD0074"/>
    <w:lvl w:ilvl="0" w:tentative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00FDCEF"/>
    <w:multiLevelType w:val="multilevel"/>
    <w:tmpl w:val="700FDCE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9AA4FA4"/>
    <w:multiLevelType w:val="multilevel"/>
    <w:tmpl w:val="79AA4FA4"/>
    <w:lvl w:ilvl="0" w:tentative="0">
      <w:start w:val="1"/>
      <w:numFmt w:val="russianLower"/>
      <w:pStyle w:val="368"/>
      <w:lvlText w:val="%1)"/>
      <w:lvlJc w:val="left"/>
      <w:pPr>
        <w:tabs>
          <w:tab w:val="left" w:pos="1077"/>
        </w:tabs>
        <w:ind w:left="1077" w:hanging="34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817"/>
        </w:tabs>
        <w:ind w:left="1817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37"/>
        </w:tabs>
        <w:ind w:left="2537" w:hanging="180"/>
      </w:pPr>
    </w:lvl>
    <w:lvl w:ilvl="3" w:tentative="0">
      <w:start w:val="1"/>
      <w:numFmt w:val="decimal"/>
      <w:lvlText w:val="%4."/>
      <w:lvlJc w:val="left"/>
      <w:pPr>
        <w:tabs>
          <w:tab w:val="left" w:pos="3257"/>
        </w:tabs>
        <w:ind w:left="325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77"/>
        </w:tabs>
        <w:ind w:left="397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97"/>
        </w:tabs>
        <w:ind w:left="4697" w:hanging="180"/>
      </w:pPr>
    </w:lvl>
    <w:lvl w:ilvl="6" w:tentative="0">
      <w:start w:val="1"/>
      <w:numFmt w:val="decimal"/>
      <w:lvlText w:val="%7."/>
      <w:lvlJc w:val="left"/>
      <w:pPr>
        <w:tabs>
          <w:tab w:val="left" w:pos="5417"/>
        </w:tabs>
        <w:ind w:left="541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37"/>
        </w:tabs>
        <w:ind w:left="613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57"/>
        </w:tabs>
        <w:ind w:left="6857" w:hanging="180"/>
      </w:pPr>
    </w:lvl>
  </w:abstractNum>
  <w:num w:numId="1">
    <w:abstractNumId w:val="23"/>
  </w:num>
  <w:num w:numId="2">
    <w:abstractNumId w:val="31"/>
  </w:num>
  <w:num w:numId="3">
    <w:abstractNumId w:val="13"/>
  </w:num>
  <w:num w:numId="4">
    <w:abstractNumId w:val="9"/>
  </w:num>
  <w:num w:numId="5">
    <w:abstractNumId w:val="25"/>
  </w:num>
  <w:num w:numId="6">
    <w:abstractNumId w:val="35"/>
  </w:num>
  <w:num w:numId="7">
    <w:abstractNumId w:val="6"/>
  </w:num>
  <w:num w:numId="8">
    <w:abstractNumId w:val="1"/>
  </w:num>
  <w:num w:numId="9">
    <w:abstractNumId w:val="5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1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32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6"/>
  </w:num>
  <w:num w:numId="18">
    <w:abstractNumId w:val="17"/>
  </w:num>
  <w:num w:numId="19">
    <w:abstractNumId w:val="8"/>
  </w:num>
  <w:num w:numId="20">
    <w:abstractNumId w:val="26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1"/>
  </w:num>
  <w:num w:numId="23">
    <w:abstractNumId w:val="22"/>
  </w:num>
  <w:num w:numId="24">
    <w:abstractNumId w:val="4"/>
  </w:num>
  <w:num w:numId="25">
    <w:abstractNumId w:val="29"/>
  </w:num>
  <w:num w:numId="26">
    <w:abstractNumId w:val="18"/>
  </w:num>
  <w:num w:numId="27">
    <w:abstractNumId w:val="27"/>
  </w:num>
  <w:num w:numId="28">
    <w:abstractNumId w:val="15"/>
  </w:num>
  <w:num w:numId="29">
    <w:abstractNumId w:val="7"/>
  </w:num>
  <w:num w:numId="30">
    <w:abstractNumId w:val="19"/>
  </w:num>
  <w:num w:numId="31">
    <w:abstractNumId w:val="3"/>
  </w:num>
  <w:num w:numId="32">
    <w:abstractNumId w:val="28"/>
  </w:num>
  <w:num w:numId="33">
    <w:abstractNumId w:val="2"/>
  </w:num>
  <w:num w:numId="34">
    <w:abstractNumId w:val="12"/>
  </w:num>
  <w:num w:numId="35">
    <w:abstractNumId w:val="24"/>
  </w:num>
  <w:num w:numId="36">
    <w:abstractNumId w:val="14"/>
  </w:num>
  <w:num w:numId="37">
    <w:abstractNumId w:val="20"/>
  </w:num>
  <w:num w:numId="38">
    <w:abstractNumId w:val="34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113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8275A9"/>
    <w:rsid w:val="014C5049"/>
    <w:rsid w:val="095404C3"/>
    <w:rsid w:val="102D15D5"/>
    <w:rsid w:val="104D1A69"/>
    <w:rsid w:val="13CA6F0E"/>
    <w:rsid w:val="14E36690"/>
    <w:rsid w:val="21E141CD"/>
    <w:rsid w:val="28AD6084"/>
    <w:rsid w:val="2C477E12"/>
    <w:rsid w:val="368C2173"/>
    <w:rsid w:val="373534E8"/>
    <w:rsid w:val="38D23F84"/>
    <w:rsid w:val="39F42944"/>
    <w:rsid w:val="46D94484"/>
    <w:rsid w:val="4C275B8B"/>
    <w:rsid w:val="4D572B7E"/>
    <w:rsid w:val="4E374D17"/>
    <w:rsid w:val="609C0034"/>
    <w:rsid w:val="702E0F69"/>
    <w:rsid w:val="7D3C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uiPriority="39" w:semiHidden="0" w:name="toc 6"/>
    <w:lsdException w:qFormat="1" w:uiPriority="39" w:semiHidden="0" w:name="toc 7"/>
    <w:lsdException w:qFormat="1" w:uiPriority="39" w:semiHidden="0" w:name="toc 8"/>
    <w:lsdException w:qFormat="1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nhideWhenUsed="0" w:uiPriority="0" w:semiHidden="0" w:name="annotation reference"/>
    <w:lsdException w:uiPriority="99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0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color w:val="000000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200"/>
    <w:qFormat/>
    <w:uiPriority w:val="9"/>
    <w:pPr>
      <w:keepNext/>
      <w:tabs>
        <w:tab w:val="left" w:pos="432"/>
      </w:tabs>
      <w:outlineLvl w:val="0"/>
    </w:pPr>
    <w:rPr>
      <w:i/>
      <w:color w:val="FF0000"/>
      <w:sz w:val="22"/>
      <w:szCs w:val="22"/>
    </w:rPr>
  </w:style>
  <w:style w:type="paragraph" w:styleId="3">
    <w:name w:val="heading 2"/>
    <w:basedOn w:val="1"/>
    <w:next w:val="1"/>
    <w:link w:val="201"/>
    <w:qFormat/>
    <w:uiPriority w:val="9"/>
    <w:pPr>
      <w:keepNext/>
      <w:numPr>
        <w:ilvl w:val="0"/>
        <w:numId w:val="1"/>
      </w:numPr>
      <w:tabs>
        <w:tab w:val="left" w:pos="1134"/>
      </w:tabs>
      <w:spacing w:before="120" w:after="120" w:line="360" w:lineRule="auto"/>
      <w:ind w:right="-1"/>
      <w:contextualSpacing/>
      <w:outlineLvl w:val="1"/>
    </w:pPr>
    <w:rPr>
      <w:b/>
      <w:szCs w:val="20"/>
    </w:rPr>
  </w:style>
  <w:style w:type="paragraph" w:styleId="4">
    <w:name w:val="heading 3"/>
    <w:basedOn w:val="1"/>
    <w:next w:val="1"/>
    <w:link w:val="202"/>
    <w:qFormat/>
    <w:uiPriority w:val="0"/>
    <w:pPr>
      <w:keepNext/>
      <w:numPr>
        <w:ilvl w:val="0"/>
        <w:numId w:val="2"/>
      </w:numPr>
      <w:spacing w:before="240" w:after="120"/>
      <w:outlineLvl w:val="2"/>
    </w:pPr>
    <w:rPr>
      <w:rFonts w:cs="Arial"/>
      <w:b/>
      <w:bCs/>
      <w:szCs w:val="26"/>
    </w:rPr>
  </w:style>
  <w:style w:type="paragraph" w:styleId="5">
    <w:name w:val="heading 4"/>
    <w:basedOn w:val="1"/>
    <w:next w:val="1"/>
    <w:link w:val="203"/>
    <w:qFormat/>
    <w:uiPriority w:val="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04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05"/>
    <w:qFormat/>
    <w:uiPriority w:val="0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8">
    <w:name w:val="heading 7"/>
    <w:basedOn w:val="1"/>
    <w:next w:val="1"/>
    <w:link w:val="206"/>
    <w:qFormat/>
    <w:uiPriority w:val="0"/>
    <w:pPr>
      <w:keepNext/>
      <w:ind w:left="6480" w:firstLine="720"/>
      <w:jc w:val="both"/>
      <w:outlineLvl w:val="6"/>
    </w:pPr>
    <w:rPr>
      <w:b/>
      <w:szCs w:val="20"/>
    </w:rPr>
  </w:style>
  <w:style w:type="paragraph" w:styleId="9">
    <w:name w:val="heading 8"/>
    <w:basedOn w:val="1"/>
    <w:next w:val="1"/>
    <w:link w:val="207"/>
    <w:qFormat/>
    <w:uiPriority w:val="0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10">
    <w:name w:val="heading 9"/>
    <w:basedOn w:val="1"/>
    <w:next w:val="1"/>
    <w:link w:val="208"/>
    <w:qFormat/>
    <w:uiPriority w:val="0"/>
    <w:pPr>
      <w:keepNext/>
      <w:shd w:val="clear" w:color="auto" w:fill="FFFFFF"/>
      <w:ind w:left="6" w:hanging="11"/>
      <w:jc w:val="center"/>
      <w:outlineLvl w:val="8"/>
    </w:pPr>
    <w:rPr>
      <w:spacing w:val="-3"/>
      <w:sz w:val="28"/>
      <w:szCs w:val="28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10"/>
    <w:semiHidden/>
    <w:qFormat/>
    <w:uiPriority w:val="0"/>
    <w:rPr>
      <w:rFonts w:ascii="Tahoma" w:hAnsi="Tahoma" w:cs="Tahoma"/>
      <w:sz w:val="16"/>
      <w:szCs w:val="16"/>
    </w:rPr>
  </w:style>
  <w:style w:type="paragraph" w:styleId="12">
    <w:name w:val="List Continue"/>
    <w:basedOn w:val="1"/>
    <w:qFormat/>
    <w:uiPriority w:val="0"/>
    <w:pPr>
      <w:spacing w:before="60" w:after="60" w:line="360" w:lineRule="auto"/>
      <w:ind w:left="680"/>
      <w:jc w:val="both"/>
    </w:pPr>
    <w:rPr>
      <w:spacing w:val="-2"/>
      <w:szCs w:val="20"/>
      <w:lang w:eastAsia="en-US"/>
    </w:rPr>
  </w:style>
  <w:style w:type="paragraph" w:styleId="13">
    <w:name w:val="Body Text 2"/>
    <w:basedOn w:val="1"/>
    <w:link w:val="220"/>
    <w:qFormat/>
    <w:uiPriority w:val="0"/>
    <w:rPr>
      <w:color w:val="FF0000"/>
      <w:sz w:val="22"/>
      <w:szCs w:val="22"/>
    </w:rPr>
  </w:style>
  <w:style w:type="paragraph" w:styleId="14">
    <w:name w:val="Plain Text"/>
    <w:basedOn w:val="1"/>
    <w:link w:val="372"/>
    <w:unhideWhenUsed/>
    <w:qFormat/>
    <w:uiPriority w:val="99"/>
    <w:rPr>
      <w:rFonts w:ascii="Calibri" w:hAnsi="Calibri" w:eastAsia="Calibri"/>
      <w:color w:val="auto"/>
      <w:sz w:val="22"/>
      <w:szCs w:val="21"/>
      <w:lang w:eastAsia="en-US"/>
    </w:rPr>
  </w:style>
  <w:style w:type="paragraph" w:styleId="15">
    <w:name w:val="Body Text Indent 3"/>
    <w:basedOn w:val="1"/>
    <w:link w:val="221"/>
    <w:qFormat/>
    <w:uiPriority w:val="0"/>
    <w:pPr>
      <w:tabs>
        <w:tab w:val="left" w:pos="252"/>
        <w:tab w:val="left" w:pos="342"/>
      </w:tabs>
      <w:ind w:firstLine="431"/>
      <w:jc w:val="both"/>
    </w:pPr>
    <w:rPr>
      <w:sz w:val="22"/>
      <w:szCs w:val="22"/>
    </w:rPr>
  </w:style>
  <w:style w:type="paragraph" w:styleId="16">
    <w:name w:val="endnote text"/>
    <w:basedOn w:val="1"/>
    <w:link w:val="199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8">
    <w:name w:val="annotation text"/>
    <w:basedOn w:val="1"/>
    <w:link w:val="213"/>
    <w:qFormat/>
    <w:uiPriority w:val="0"/>
    <w:rPr>
      <w:rFonts w:eastAsia="SimSun"/>
      <w:sz w:val="20"/>
      <w:szCs w:val="20"/>
      <w:lang w:eastAsia="zh-CN"/>
    </w:rPr>
  </w:style>
  <w:style w:type="paragraph" w:styleId="19">
    <w:name w:val="index 1"/>
    <w:basedOn w:val="1"/>
    <w:next w:val="1"/>
    <w:qFormat/>
    <w:uiPriority w:val="0"/>
  </w:style>
  <w:style w:type="paragraph" w:styleId="20">
    <w:name w:val="annotation subject"/>
    <w:basedOn w:val="18"/>
    <w:next w:val="18"/>
    <w:link w:val="214"/>
    <w:semiHidden/>
    <w:qFormat/>
    <w:uiPriority w:val="0"/>
    <w:rPr>
      <w:rFonts w:eastAsia="Times New Roman"/>
      <w:b/>
      <w:bCs/>
      <w:lang w:eastAsia="ru-RU"/>
    </w:rPr>
  </w:style>
  <w:style w:type="paragraph" w:styleId="21">
    <w:name w:val="Document Map"/>
    <w:basedOn w:val="1"/>
    <w:link w:val="248"/>
    <w:semiHidden/>
    <w:unhideWhenUsed/>
    <w:qFormat/>
    <w:uiPriority w:val="0"/>
    <w:rPr>
      <w:rFonts w:ascii="Tahoma" w:hAnsi="Tahoma" w:cs="Tahoma"/>
      <w:sz w:val="16"/>
      <w:szCs w:val="16"/>
      <w:lang w:eastAsia="en-US"/>
    </w:rPr>
  </w:style>
  <w:style w:type="paragraph" w:styleId="22">
    <w:name w:val="footnote text"/>
    <w:basedOn w:val="1"/>
    <w:link w:val="217"/>
    <w:qFormat/>
    <w:uiPriority w:val="0"/>
    <w:rPr>
      <w:sz w:val="20"/>
      <w:szCs w:val="20"/>
    </w:rPr>
  </w:style>
  <w:style w:type="paragraph" w:styleId="23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24">
    <w:name w:val="header"/>
    <w:basedOn w:val="1"/>
    <w:link w:val="215"/>
    <w:qFormat/>
    <w:uiPriority w:val="0"/>
    <w:pPr>
      <w:tabs>
        <w:tab w:val="center" w:pos="4677"/>
        <w:tab w:val="right" w:pos="9355"/>
      </w:tabs>
    </w:pPr>
  </w:style>
  <w:style w:type="paragraph" w:styleId="25">
    <w:name w:val="toc 9"/>
    <w:basedOn w:val="1"/>
    <w:next w:val="1"/>
    <w:unhideWhenUsed/>
    <w:qFormat/>
    <w:uiPriority w:val="0"/>
    <w:pPr>
      <w:tabs>
        <w:tab w:val="right" w:leader="dot" w:pos="9344"/>
      </w:tabs>
    </w:pPr>
  </w:style>
  <w:style w:type="paragraph" w:styleId="26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27">
    <w:name w:val="Body Text"/>
    <w:basedOn w:val="1"/>
    <w:link w:val="209"/>
    <w:qFormat/>
    <w:uiPriority w:val="0"/>
    <w:pPr>
      <w:jc w:val="right"/>
    </w:pPr>
    <w:rPr>
      <w:szCs w:val="20"/>
    </w:rPr>
  </w:style>
  <w:style w:type="paragraph" w:styleId="28">
    <w:name w:val="toc 1"/>
    <w:basedOn w:val="1"/>
    <w:next w:val="1"/>
    <w:qFormat/>
    <w:uiPriority w:val="39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styleId="29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30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31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32">
    <w:name w:val="toc 2"/>
    <w:basedOn w:val="1"/>
    <w:next w:val="1"/>
    <w:unhideWhenUsed/>
    <w:qFormat/>
    <w:uiPriority w:val="39"/>
    <w:pPr>
      <w:spacing w:after="100"/>
      <w:ind w:left="240"/>
      <w:jc w:val="both"/>
    </w:pPr>
    <w:rPr>
      <w:b/>
      <w:szCs w:val="20"/>
      <w:lang w:eastAsia="en-US"/>
    </w:rPr>
  </w:style>
  <w:style w:type="paragraph" w:styleId="33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3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35">
    <w:name w:val="Body Text Indent"/>
    <w:basedOn w:val="1"/>
    <w:link w:val="219"/>
    <w:qFormat/>
    <w:uiPriority w:val="0"/>
    <w:pPr>
      <w:tabs>
        <w:tab w:val="left" w:pos="432"/>
      </w:tabs>
      <w:ind w:left="360"/>
      <w:jc w:val="both"/>
    </w:pPr>
    <w:rPr>
      <w:color w:val="FF00FF"/>
      <w:sz w:val="22"/>
      <w:szCs w:val="22"/>
    </w:rPr>
  </w:style>
  <w:style w:type="paragraph" w:styleId="36">
    <w:name w:val="List Bullet"/>
    <w:basedOn w:val="1"/>
    <w:qFormat/>
    <w:uiPriority w:val="0"/>
  </w:style>
  <w:style w:type="paragraph" w:styleId="37">
    <w:name w:val="Title"/>
    <w:basedOn w:val="1"/>
    <w:link w:val="259"/>
    <w:qFormat/>
    <w:uiPriority w:val="0"/>
    <w:pPr>
      <w:ind w:right="-1050"/>
      <w:jc w:val="center"/>
    </w:pPr>
    <w:rPr>
      <w:b/>
      <w:szCs w:val="20"/>
    </w:rPr>
  </w:style>
  <w:style w:type="paragraph" w:styleId="38">
    <w:name w:val="footer"/>
    <w:basedOn w:val="1"/>
    <w:link w:val="216"/>
    <w:qFormat/>
    <w:uiPriority w:val="99"/>
    <w:pPr>
      <w:tabs>
        <w:tab w:val="center" w:pos="4677"/>
        <w:tab w:val="right" w:pos="9355"/>
      </w:tabs>
    </w:pPr>
  </w:style>
  <w:style w:type="paragraph" w:styleId="39">
    <w:name w:val="Normal (Web)"/>
    <w:basedOn w:val="1"/>
    <w:qFormat/>
    <w:uiPriority w:val="0"/>
    <w:pPr>
      <w:spacing w:before="100" w:beforeAutospacing="1" w:after="100" w:afterAutospacing="1"/>
    </w:pPr>
  </w:style>
  <w:style w:type="paragraph" w:styleId="40">
    <w:name w:val="Body Text 3"/>
    <w:basedOn w:val="1"/>
    <w:link w:val="247"/>
    <w:qFormat/>
    <w:uiPriority w:val="0"/>
    <w:pPr>
      <w:spacing w:after="120"/>
    </w:pPr>
    <w:rPr>
      <w:sz w:val="16"/>
      <w:szCs w:val="16"/>
    </w:rPr>
  </w:style>
  <w:style w:type="paragraph" w:styleId="41">
    <w:name w:val="Body Text Indent 2"/>
    <w:basedOn w:val="1"/>
    <w:link w:val="218"/>
    <w:qFormat/>
    <w:uiPriority w:val="0"/>
    <w:pPr>
      <w:spacing w:after="120" w:line="480" w:lineRule="auto"/>
      <w:ind w:left="283"/>
    </w:pPr>
    <w:rPr>
      <w:szCs w:val="20"/>
      <w:lang w:eastAsia="en-US"/>
    </w:rPr>
  </w:style>
  <w:style w:type="paragraph" w:styleId="42">
    <w:name w:val="Subtitle"/>
    <w:basedOn w:val="1"/>
    <w:next w:val="1"/>
    <w:link w:val="375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3">
    <w:name w:val="Block Text"/>
    <w:basedOn w:val="1"/>
    <w:qFormat/>
    <w:uiPriority w:val="0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character" w:styleId="45">
    <w:name w:val="footnote reference"/>
    <w:basedOn w:val="44"/>
    <w:unhideWhenUsed/>
    <w:qFormat/>
    <w:uiPriority w:val="99"/>
    <w:rPr>
      <w:vertAlign w:val="superscript"/>
    </w:rPr>
  </w:style>
  <w:style w:type="character" w:styleId="46">
    <w:name w:val="annotation reference"/>
    <w:qFormat/>
    <w:uiPriority w:val="0"/>
    <w:rPr>
      <w:rFonts w:cs="Times New Roman"/>
      <w:sz w:val="16"/>
      <w:szCs w:val="16"/>
    </w:rPr>
  </w:style>
  <w:style w:type="character" w:styleId="47">
    <w:name w:val="endnote reference"/>
    <w:basedOn w:val="44"/>
    <w:semiHidden/>
    <w:unhideWhenUsed/>
    <w:qFormat/>
    <w:uiPriority w:val="99"/>
    <w:rPr>
      <w:vertAlign w:val="superscript"/>
    </w:rPr>
  </w:style>
  <w:style w:type="character" w:styleId="48">
    <w:name w:val="Emphasis"/>
    <w:basedOn w:val="44"/>
    <w:qFormat/>
    <w:uiPriority w:val="0"/>
    <w:rPr>
      <w:i/>
      <w:iCs/>
    </w:rPr>
  </w:style>
  <w:style w:type="character" w:styleId="49">
    <w:name w:val="Hyperlink"/>
    <w:uiPriority w:val="99"/>
    <w:rPr>
      <w:color w:val="0000FF"/>
      <w:u w:val="single"/>
    </w:rPr>
  </w:style>
  <w:style w:type="character" w:styleId="50">
    <w:name w:val="page number"/>
    <w:uiPriority w:val="0"/>
    <w:rPr>
      <w:rFonts w:cs="Times New Roman"/>
    </w:rPr>
  </w:style>
  <w:style w:type="character" w:styleId="51">
    <w:name w:val="Strong"/>
    <w:qFormat/>
    <w:uiPriority w:val="22"/>
    <w:rPr>
      <w:b/>
      <w:bCs/>
    </w:rPr>
  </w:style>
  <w:style w:type="table" w:styleId="53">
    <w:name w:val="Table Grid"/>
    <w:basedOn w:val="5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4">
    <w:name w:val="Heading 1 Char"/>
    <w:basedOn w:val="44"/>
    <w:uiPriority w:val="9"/>
    <w:rPr>
      <w:rFonts w:ascii="Arial" w:hAnsi="Arial" w:eastAsia="Arial" w:cs="Arial"/>
      <w:sz w:val="40"/>
      <w:szCs w:val="40"/>
    </w:rPr>
  </w:style>
  <w:style w:type="character" w:customStyle="1" w:styleId="55">
    <w:name w:val="Heading 2 Char"/>
    <w:basedOn w:val="44"/>
    <w:qFormat/>
    <w:uiPriority w:val="9"/>
    <w:rPr>
      <w:rFonts w:ascii="Arial" w:hAnsi="Arial" w:eastAsia="Arial" w:cs="Arial"/>
      <w:sz w:val="34"/>
    </w:rPr>
  </w:style>
  <w:style w:type="character" w:customStyle="1" w:styleId="56">
    <w:name w:val="Heading 3 Char"/>
    <w:basedOn w:val="44"/>
    <w:uiPriority w:val="9"/>
    <w:rPr>
      <w:rFonts w:ascii="Arial" w:hAnsi="Arial" w:eastAsia="Arial" w:cs="Arial"/>
      <w:sz w:val="30"/>
      <w:szCs w:val="30"/>
    </w:rPr>
  </w:style>
  <w:style w:type="character" w:customStyle="1" w:styleId="57">
    <w:name w:val="Heading 4 Char"/>
    <w:basedOn w:val="44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58">
    <w:name w:val="Heading 5 Char"/>
    <w:basedOn w:val="44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59">
    <w:name w:val="Heading 6 Char"/>
    <w:basedOn w:val="44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60">
    <w:name w:val="Heading 7 Char"/>
    <w:basedOn w:val="44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61">
    <w:name w:val="Heading 8 Char"/>
    <w:basedOn w:val="44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62">
    <w:name w:val="Heading 9 Char"/>
    <w:basedOn w:val="44"/>
    <w:uiPriority w:val="9"/>
    <w:rPr>
      <w:rFonts w:ascii="Arial" w:hAnsi="Arial" w:eastAsia="Arial" w:cs="Arial"/>
      <w:i/>
      <w:iCs/>
      <w:sz w:val="21"/>
      <w:szCs w:val="21"/>
    </w:rPr>
  </w:style>
  <w:style w:type="paragraph" w:styleId="63">
    <w:name w:val="No Spacing"/>
    <w:qFormat/>
    <w:uiPriority w:val="1"/>
    <w:pPr>
      <w:spacing w:before="0" w:after="0" w:line="240" w:lineRule="auto"/>
    </w:pPr>
    <w:rPr>
      <w:rFonts w:asciiTheme="minorHAnsi" w:hAnsiTheme="minorHAnsi" w:eastAsiaTheme="minorEastAsia" w:cstheme="minorBidi"/>
      <w:lang w:val="ru-RU" w:eastAsia="ru-RU" w:bidi="ar-SA"/>
    </w:rPr>
  </w:style>
  <w:style w:type="character" w:customStyle="1" w:styleId="64">
    <w:name w:val="Title Char"/>
    <w:basedOn w:val="44"/>
    <w:qFormat/>
    <w:uiPriority w:val="10"/>
    <w:rPr>
      <w:sz w:val="48"/>
      <w:szCs w:val="48"/>
    </w:rPr>
  </w:style>
  <w:style w:type="character" w:customStyle="1" w:styleId="65">
    <w:name w:val="Subtitle Char"/>
    <w:basedOn w:val="44"/>
    <w:qFormat/>
    <w:uiPriority w:val="11"/>
    <w:rPr>
      <w:sz w:val="24"/>
      <w:szCs w:val="24"/>
    </w:rPr>
  </w:style>
  <w:style w:type="paragraph" w:styleId="66">
    <w:name w:val="Quote"/>
    <w:basedOn w:val="1"/>
    <w:next w:val="1"/>
    <w:link w:val="67"/>
    <w:qFormat/>
    <w:uiPriority w:val="29"/>
    <w:pPr>
      <w:ind w:left="720" w:right="720"/>
    </w:pPr>
    <w:rPr>
      <w:i/>
    </w:rPr>
  </w:style>
  <w:style w:type="character" w:customStyle="1" w:styleId="67">
    <w:name w:val="Quote Char"/>
    <w:link w:val="66"/>
    <w:uiPriority w:val="29"/>
    <w:rPr>
      <w:i/>
    </w:rPr>
  </w:style>
  <w:style w:type="paragraph" w:styleId="68">
    <w:name w:val="Intense Quote"/>
    <w:basedOn w:val="1"/>
    <w:next w:val="1"/>
    <w:link w:val="6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69">
    <w:name w:val="Intense Quote Char"/>
    <w:link w:val="68"/>
    <w:qFormat/>
    <w:uiPriority w:val="30"/>
    <w:rPr>
      <w:i/>
    </w:rPr>
  </w:style>
  <w:style w:type="character" w:customStyle="1" w:styleId="70">
    <w:name w:val="Header Char"/>
    <w:basedOn w:val="44"/>
    <w:qFormat/>
    <w:uiPriority w:val="99"/>
  </w:style>
  <w:style w:type="character" w:customStyle="1" w:styleId="71">
    <w:name w:val="Footer Char"/>
    <w:basedOn w:val="44"/>
    <w:qFormat/>
    <w:uiPriority w:val="99"/>
  </w:style>
  <w:style w:type="character" w:customStyle="1" w:styleId="72">
    <w:name w:val="Caption Char"/>
    <w:uiPriority w:val="99"/>
  </w:style>
  <w:style w:type="table" w:customStyle="1" w:styleId="73">
    <w:name w:val="Table Grid Light"/>
    <w:basedOn w:val="5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Plain Table 1"/>
    <w:basedOn w:val="5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5">
    <w:name w:val="Plain Table 2"/>
    <w:basedOn w:val="5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6">
    <w:name w:val="Plain Table 3"/>
    <w:basedOn w:val="52"/>
    <w:qFormat/>
    <w:uiPriority w:val="99"/>
    <w:pPr>
      <w:spacing w:after="0" w:line="240" w:lineRule="auto"/>
    </w:pPr>
    <w:tblPr>
      <w:tblLayout w:type="fixed"/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Plain Table 4"/>
    <w:basedOn w:val="52"/>
    <w:qFormat/>
    <w:uiPriority w:val="99"/>
    <w:pPr>
      <w:spacing w:after="0" w:line="240" w:lineRule="auto"/>
    </w:pPr>
    <w:tblPr>
      <w:tblLayout w:type="fixed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8">
    <w:name w:val="Plain Table 5"/>
    <w:basedOn w:val="52"/>
    <w:qFormat/>
    <w:uiPriority w:val="99"/>
    <w:pPr>
      <w:spacing w:after="0" w:line="240" w:lineRule="auto"/>
    </w:pPr>
    <w:tblPr>
      <w:tblLayout w:type="fixed"/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9">
    <w:name w:val="Grid Table 1 Light"/>
    <w:basedOn w:val="5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Layout w:type="fixed"/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80">
    <w:name w:val="Grid Table 1 Light - Accent 1"/>
    <w:basedOn w:val="52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Layout w:type="fixed"/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81">
    <w:name w:val="Grid Table 1 Light - Accent 2"/>
    <w:basedOn w:val="5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Layout w:type="fixed"/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82">
    <w:name w:val="Grid Table 1 Light - Accent 3"/>
    <w:basedOn w:val="52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Layout w:type="fixed"/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83">
    <w:name w:val="Grid Table 1 Light - Accent 4"/>
    <w:basedOn w:val="52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Layout w:type="fixed"/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84">
    <w:name w:val="Grid Table 1 Light - Accent 5"/>
    <w:basedOn w:val="52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Layout w:type="fixed"/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85">
    <w:name w:val="Grid Table 1 Light - Accent 6"/>
    <w:basedOn w:val="52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Layout w:type="fixed"/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86">
    <w:name w:val="Grid Table 2"/>
    <w:basedOn w:val="5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7">
    <w:name w:val="Grid Table 2 - Accent 1"/>
    <w:basedOn w:val="52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88">
    <w:name w:val="Grid Table 2 - Accent 2"/>
    <w:basedOn w:val="5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9">
    <w:name w:val="Grid Table 2 - Accent 3"/>
    <w:basedOn w:val="52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0">
    <w:name w:val="Grid Table 2 - Accent 4"/>
    <w:basedOn w:val="52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1">
    <w:name w:val="Grid Table 2 - Accent 5"/>
    <w:basedOn w:val="52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2">
    <w:name w:val="Grid Table 2 - Accent 6"/>
    <w:basedOn w:val="52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3">
    <w:name w:val="Grid Table 3"/>
    <w:basedOn w:val="5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4">
    <w:name w:val="Grid Table 3 - Accent 1"/>
    <w:basedOn w:val="52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95">
    <w:name w:val="Grid Table 3 - Accent 2"/>
    <w:basedOn w:val="5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96">
    <w:name w:val="Grid Table 3 - Accent 3"/>
    <w:basedOn w:val="52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7">
    <w:name w:val="Grid Table 3 - Accent 4"/>
    <w:basedOn w:val="52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8">
    <w:name w:val="Grid Table 3 - Accent 5"/>
    <w:basedOn w:val="52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9">
    <w:name w:val="Grid Table 3 - Accent 6"/>
    <w:basedOn w:val="52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0">
    <w:name w:val="Grid Table 4"/>
    <w:basedOn w:val="5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1">
    <w:name w:val="Grid Table 4 - Accent 1"/>
    <w:basedOn w:val="52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102">
    <w:name w:val="Grid Table 4 - Accent 2"/>
    <w:basedOn w:val="52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03">
    <w:name w:val="Grid Table 4 - Accent 3"/>
    <w:basedOn w:val="52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04">
    <w:name w:val="Grid Table 4 - Accent 4"/>
    <w:basedOn w:val="52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05">
    <w:name w:val="Grid Table 4 - Accent 5"/>
    <w:basedOn w:val="52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06">
    <w:name w:val="Grid Table 4 - Accent 6"/>
    <w:basedOn w:val="52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7">
    <w:name w:val="Grid Table 5 Dark"/>
    <w:basedOn w:val="5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08">
    <w:name w:val="Grid Table 5 Dark- Accent 1"/>
    <w:basedOn w:val="5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109">
    <w:name w:val="Grid Table 5 Dark - Accent 2"/>
    <w:basedOn w:val="5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110">
    <w:name w:val="Grid Table 5 Dark - Accent 3"/>
    <w:basedOn w:val="5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111">
    <w:name w:val="Grid Table 5 Dark- Accent 4"/>
    <w:basedOn w:val="5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112">
    <w:name w:val="Grid Table 5 Dark - Accent 5"/>
    <w:basedOn w:val="5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113">
    <w:name w:val="Grid Table 5 Dark - Accent 6"/>
    <w:basedOn w:val="5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114">
    <w:name w:val="Grid Table 6 Colorful"/>
    <w:basedOn w:val="5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Layout w:type="fixed"/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5">
    <w:name w:val="Grid Table 6 Colorful - Accent 1"/>
    <w:basedOn w:val="52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Layout w:type="fixed"/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6">
    <w:name w:val="Grid Table 6 Colorful - Accent 2"/>
    <w:basedOn w:val="5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Layout w:type="fixed"/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7">
    <w:name w:val="Grid Table 6 Colorful - Accent 3"/>
    <w:basedOn w:val="52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Layout w:type="fixed"/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8">
    <w:name w:val="Grid Table 6 Colorful - Accent 4"/>
    <w:basedOn w:val="52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Layout w:type="fixed"/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9">
    <w:name w:val="Grid Table 6 Colorful - Accent 5"/>
    <w:basedOn w:val="52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Layout w:type="fixed"/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0">
    <w:name w:val="Grid Table 6 Colorful - Accent 6"/>
    <w:basedOn w:val="52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Layout w:type="fixed"/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1">
    <w:name w:val="Grid Table 7 Colorful"/>
    <w:basedOn w:val="5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Layout w:type="fixed"/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2">
    <w:name w:val="Grid Table 7 Colorful - Accent 1"/>
    <w:basedOn w:val="52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Layout w:type="fixed"/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3">
    <w:name w:val="Grid Table 7 Colorful - Accent 2"/>
    <w:basedOn w:val="5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Layout w:type="fixed"/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4">
    <w:name w:val="Grid Table 7 Colorful - Accent 3"/>
    <w:basedOn w:val="52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Layout w:type="fixed"/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5">
    <w:name w:val="Grid Table 7 Colorful - Accent 4"/>
    <w:basedOn w:val="52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Layout w:type="fixed"/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6">
    <w:name w:val="Grid Table 7 Colorful - Accent 5"/>
    <w:basedOn w:val="52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Layout w:type="fixed"/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7">
    <w:name w:val="Grid Table 7 Colorful - Accent 6"/>
    <w:basedOn w:val="52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Layout w:type="fixed"/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28">
    <w:name w:val="List Table 1 Light"/>
    <w:basedOn w:val="52"/>
    <w:qFormat/>
    <w:uiPriority w:val="99"/>
    <w:pPr>
      <w:spacing w:after="0" w:line="240" w:lineRule="auto"/>
    </w:pPr>
    <w:tblPr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29">
    <w:name w:val="List Table 1 Light - Accent 1"/>
    <w:basedOn w:val="52"/>
    <w:qFormat/>
    <w:uiPriority w:val="99"/>
    <w:pPr>
      <w:spacing w:after="0" w:line="240" w:lineRule="auto"/>
    </w:pPr>
    <w:tblPr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30">
    <w:name w:val="List Table 1 Light - Accent 2"/>
    <w:basedOn w:val="52"/>
    <w:qFormat/>
    <w:uiPriority w:val="99"/>
    <w:pPr>
      <w:spacing w:after="0" w:line="240" w:lineRule="auto"/>
    </w:pPr>
    <w:tblPr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31">
    <w:name w:val="List Table 1 Light - Accent 3"/>
    <w:basedOn w:val="52"/>
    <w:uiPriority w:val="99"/>
    <w:pPr>
      <w:spacing w:after="0" w:line="240" w:lineRule="auto"/>
    </w:pPr>
    <w:tblPr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32">
    <w:name w:val="List Table 1 Light - Accent 4"/>
    <w:basedOn w:val="52"/>
    <w:qFormat/>
    <w:uiPriority w:val="99"/>
    <w:pPr>
      <w:spacing w:after="0" w:line="240" w:lineRule="auto"/>
    </w:pPr>
    <w:tblPr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33">
    <w:name w:val="List Table 1 Light - Accent 5"/>
    <w:basedOn w:val="52"/>
    <w:uiPriority w:val="99"/>
    <w:pPr>
      <w:spacing w:after="0" w:line="240" w:lineRule="auto"/>
    </w:pPr>
    <w:tblPr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34">
    <w:name w:val="List Table 1 Light - Accent 6"/>
    <w:basedOn w:val="52"/>
    <w:qFormat/>
    <w:uiPriority w:val="99"/>
    <w:pPr>
      <w:spacing w:after="0" w:line="240" w:lineRule="auto"/>
    </w:pPr>
    <w:tblPr>
      <w:tblLayout w:type="fixed"/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35">
    <w:name w:val="List Table 2"/>
    <w:basedOn w:val="5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Layout w:type="fixed"/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6">
    <w:name w:val="List Table 2 - Accent 1"/>
    <w:basedOn w:val="52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Layout w:type="fixed"/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7">
    <w:name w:val="List Table 2 - Accent 2"/>
    <w:basedOn w:val="52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Layout w:type="fixed"/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8">
    <w:name w:val="List Table 2 - Accent 3"/>
    <w:basedOn w:val="52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Layout w:type="fixed"/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9">
    <w:name w:val="List Table 2 - Accent 4"/>
    <w:basedOn w:val="52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Layout w:type="fixed"/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40">
    <w:name w:val="List Table 2 - Accent 5"/>
    <w:basedOn w:val="52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Layout w:type="fixed"/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41">
    <w:name w:val="List Table 2 - Accent 6"/>
    <w:basedOn w:val="52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Layout w:type="fixed"/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2">
    <w:name w:val="List Table 3"/>
    <w:basedOn w:val="5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3">
    <w:name w:val="List Table 3 - Accent 1"/>
    <w:basedOn w:val="52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44">
    <w:name w:val="List Table 3 - Accent 2"/>
    <w:basedOn w:val="5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45">
    <w:name w:val="List Table 3 - Accent 3"/>
    <w:basedOn w:val="52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46">
    <w:name w:val="List Table 3 - Accent 4"/>
    <w:basedOn w:val="52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47">
    <w:name w:val="List Table 3 - Accent 5"/>
    <w:basedOn w:val="52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48">
    <w:name w:val="List Table 3 - Accent 6"/>
    <w:basedOn w:val="52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49">
    <w:name w:val="List Table 4"/>
    <w:basedOn w:val="5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50">
    <w:name w:val="List Table 4 - Accent 1"/>
    <w:basedOn w:val="52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51">
    <w:name w:val="List Table 4 - Accent 2"/>
    <w:basedOn w:val="5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52">
    <w:name w:val="List Table 4 - Accent 3"/>
    <w:basedOn w:val="52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53">
    <w:name w:val="List Table 4 - Accent 4"/>
    <w:basedOn w:val="52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54">
    <w:name w:val="List Table 4 - Accent 5"/>
    <w:basedOn w:val="52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55">
    <w:name w:val="List Table 4 - Accent 6"/>
    <w:basedOn w:val="52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Layout w:type="fixed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56">
    <w:name w:val="List Table 5 Dark"/>
    <w:basedOn w:val="52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Layout w:type="fixed"/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7">
    <w:name w:val="List Table 5 Dark - Accent 1"/>
    <w:basedOn w:val="52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Layout w:type="fixed"/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58">
    <w:name w:val="List Table 5 Dark - Accent 2"/>
    <w:basedOn w:val="5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Layout w:type="fixed"/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59">
    <w:name w:val="List Table 5 Dark - Accent 3"/>
    <w:basedOn w:val="52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Layout w:type="fixed"/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60">
    <w:name w:val="List Table 5 Dark - Accent 4"/>
    <w:basedOn w:val="52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Layout w:type="fixed"/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61">
    <w:name w:val="List Table 5 Dark - Accent 5"/>
    <w:basedOn w:val="52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Layout w:type="fixed"/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62">
    <w:name w:val="List Table 5 Dark - Accent 6"/>
    <w:basedOn w:val="52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Layout w:type="fixed"/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63">
    <w:name w:val="List Table 6 Colorful"/>
    <w:basedOn w:val="5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Layout w:type="fixed"/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4">
    <w:name w:val="List Table 6 Colorful - Accent 1"/>
    <w:basedOn w:val="52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  <w:tblLayout w:type="fixed"/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65">
    <w:name w:val="List Table 6 Colorful - Accent 2"/>
    <w:basedOn w:val="52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Layout w:type="fixed"/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6">
    <w:name w:val="List Table 6 Colorful - Accent 3"/>
    <w:basedOn w:val="52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Layout w:type="fixed"/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7">
    <w:name w:val="List Table 6 Colorful - Accent 4"/>
    <w:basedOn w:val="52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Layout w:type="fixed"/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8">
    <w:name w:val="List Table 6 Colorful - Accent 5"/>
    <w:basedOn w:val="52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Layout w:type="fixed"/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9">
    <w:name w:val="List Table 6 Colorful - Accent 6"/>
    <w:basedOn w:val="52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Layout w:type="fixed"/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0">
    <w:name w:val="List Table 7 Colorful"/>
    <w:basedOn w:val="5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  <w:tblLayout w:type="fixed"/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1">
    <w:name w:val="List Table 7 Colorful - Accent 1"/>
    <w:basedOn w:val="52"/>
    <w:uiPriority w:val="99"/>
    <w:pPr>
      <w:spacing w:after="0" w:line="240" w:lineRule="auto"/>
    </w:pPr>
    <w:tblPr>
      <w:tblBorders>
        <w:right w:val="single" w:color="4F81BD" w:themeColor="accent1" w:sz="4" w:space="0"/>
      </w:tblBorders>
      <w:tblLayout w:type="fixed"/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72">
    <w:name w:val="List Table 7 Colorful - Accent 2"/>
    <w:basedOn w:val="5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  <w:tblLayout w:type="fixed"/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3">
    <w:name w:val="List Table 7 Colorful - Accent 3"/>
    <w:basedOn w:val="52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  <w:tblLayout w:type="fixed"/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4">
    <w:name w:val="List Table 7 Colorful - Accent 4"/>
    <w:basedOn w:val="52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  <w:tblLayout w:type="fixed"/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5">
    <w:name w:val="List Table 7 Colorful - Accent 5"/>
    <w:basedOn w:val="52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  <w:tblLayout w:type="fixed"/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List Table 7 Colorful - Accent 6"/>
    <w:basedOn w:val="52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  <w:tblLayout w:type="fixed"/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7">
    <w:name w:val="Lined - Accent"/>
    <w:basedOn w:val="52"/>
    <w:uiPriority w:val="99"/>
    <w:pPr>
      <w:spacing w:after="0" w:line="240" w:lineRule="auto"/>
    </w:pPr>
    <w:rPr>
      <w:color w:val="404040"/>
    </w:rPr>
    <w:tblPr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8">
    <w:name w:val="Lined - Accent 1"/>
    <w:basedOn w:val="52"/>
    <w:uiPriority w:val="99"/>
    <w:pPr>
      <w:spacing w:after="0" w:line="240" w:lineRule="auto"/>
    </w:pPr>
    <w:rPr>
      <w:color w:val="404040"/>
    </w:rPr>
    <w:tblPr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9">
    <w:name w:val="Lined - Accent 2"/>
    <w:basedOn w:val="52"/>
    <w:uiPriority w:val="99"/>
    <w:pPr>
      <w:spacing w:after="0" w:line="240" w:lineRule="auto"/>
    </w:pPr>
    <w:rPr>
      <w:color w:val="404040"/>
    </w:rPr>
    <w:tblPr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0">
    <w:name w:val="Lined - Accent 3"/>
    <w:basedOn w:val="52"/>
    <w:uiPriority w:val="99"/>
    <w:pPr>
      <w:spacing w:after="0" w:line="240" w:lineRule="auto"/>
    </w:pPr>
    <w:rPr>
      <w:color w:val="404040"/>
    </w:rPr>
    <w:tblPr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81">
    <w:name w:val="Lined - Accent 4"/>
    <w:basedOn w:val="52"/>
    <w:uiPriority w:val="99"/>
    <w:pPr>
      <w:spacing w:after="0" w:line="240" w:lineRule="auto"/>
    </w:pPr>
    <w:rPr>
      <w:color w:val="404040"/>
    </w:rPr>
    <w:tblPr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82">
    <w:name w:val="Lined - Accent 5"/>
    <w:basedOn w:val="52"/>
    <w:uiPriority w:val="99"/>
    <w:pPr>
      <w:spacing w:after="0" w:line="240" w:lineRule="auto"/>
    </w:pPr>
    <w:rPr>
      <w:color w:val="404040"/>
    </w:rPr>
    <w:tblPr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83">
    <w:name w:val="Lined - Accent 6"/>
    <w:basedOn w:val="52"/>
    <w:uiPriority w:val="99"/>
    <w:pPr>
      <w:spacing w:after="0" w:line="240" w:lineRule="auto"/>
    </w:pPr>
    <w:rPr>
      <w:color w:val="404040"/>
    </w:rPr>
    <w:tblPr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84">
    <w:name w:val="Bordered &amp; Lined - Accent"/>
    <w:basedOn w:val="52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5">
    <w:name w:val="Bordered &amp; Lined - Accent 1"/>
    <w:basedOn w:val="52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86">
    <w:name w:val="Bordered &amp; Lined - Accent 2"/>
    <w:basedOn w:val="52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7">
    <w:name w:val="Bordered &amp; Lined - Accent 3"/>
    <w:basedOn w:val="52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88">
    <w:name w:val="Bordered &amp; Lined - Accent 4"/>
    <w:basedOn w:val="52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89">
    <w:name w:val="Bordered &amp; Lined - Accent 5"/>
    <w:basedOn w:val="52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90">
    <w:name w:val="Bordered &amp; Lined - Accent 6"/>
    <w:basedOn w:val="52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Layout w:type="fixed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91">
    <w:name w:val="Bordered"/>
    <w:basedOn w:val="5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Layout w:type="fixed"/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2">
    <w:name w:val="Bordered - Accent 1"/>
    <w:basedOn w:val="52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Layout w:type="fixed"/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93">
    <w:name w:val="Bordered - Accent 2"/>
    <w:basedOn w:val="5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Layout w:type="fixed"/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94">
    <w:name w:val="Bordered - Accent 3"/>
    <w:basedOn w:val="52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Layout w:type="fixed"/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95">
    <w:name w:val="Bordered - Accent 4"/>
    <w:basedOn w:val="52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Layout w:type="fixed"/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96">
    <w:name w:val="Bordered - Accent 5"/>
    <w:basedOn w:val="52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Layout w:type="fixed"/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97">
    <w:name w:val="Bordered - Accent 6"/>
    <w:basedOn w:val="52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Layout w:type="fixed"/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98">
    <w:name w:val="Footnote Text Char"/>
    <w:uiPriority w:val="99"/>
    <w:rPr>
      <w:sz w:val="18"/>
    </w:rPr>
  </w:style>
  <w:style w:type="character" w:customStyle="1" w:styleId="199">
    <w:name w:val="Endnote Text Char"/>
    <w:link w:val="16"/>
    <w:uiPriority w:val="99"/>
    <w:rPr>
      <w:sz w:val="20"/>
    </w:rPr>
  </w:style>
  <w:style w:type="character" w:customStyle="1" w:styleId="200">
    <w:name w:val="Заголовок 1 Знак1"/>
    <w:link w:val="2"/>
    <w:uiPriority w:val="0"/>
    <w:rPr>
      <w:rFonts w:ascii="Cambria" w:hAnsi="Cambria" w:cs="Times New Roman"/>
      <w:b/>
      <w:bCs/>
      <w:sz w:val="32"/>
      <w:szCs w:val="32"/>
    </w:rPr>
  </w:style>
  <w:style w:type="character" w:customStyle="1" w:styleId="201">
    <w:name w:val="Заголовок 2 Знак"/>
    <w:link w:val="3"/>
    <w:uiPriority w:val="0"/>
    <w:rPr>
      <w:b/>
      <w:color w:val="000000"/>
      <w:sz w:val="24"/>
    </w:rPr>
  </w:style>
  <w:style w:type="character" w:customStyle="1" w:styleId="202">
    <w:name w:val="Заголовок 3 Знак"/>
    <w:link w:val="4"/>
    <w:uiPriority w:val="0"/>
    <w:rPr>
      <w:rFonts w:cs="Arial"/>
      <w:b/>
      <w:bCs/>
      <w:color w:val="000000"/>
      <w:sz w:val="24"/>
      <w:szCs w:val="26"/>
    </w:rPr>
  </w:style>
  <w:style w:type="character" w:customStyle="1" w:styleId="203">
    <w:name w:val="Заголовок 4 Знак"/>
    <w:link w:val="5"/>
    <w:uiPriority w:val="0"/>
    <w:rPr>
      <w:b/>
      <w:bCs/>
      <w:sz w:val="28"/>
      <w:szCs w:val="28"/>
      <w:lang w:val="ru-RU" w:eastAsia="ru-RU" w:bidi="ar-SA"/>
    </w:rPr>
  </w:style>
  <w:style w:type="character" w:customStyle="1" w:styleId="204">
    <w:name w:val="Заголовок 5 Знак"/>
    <w:link w:val="6"/>
    <w:uiPriority w:val="0"/>
    <w:rPr>
      <w:b/>
      <w:bCs/>
      <w:i/>
      <w:iCs/>
      <w:sz w:val="26"/>
      <w:szCs w:val="26"/>
      <w:lang w:val="ru-RU" w:eastAsia="ru-RU" w:bidi="ar-SA"/>
    </w:rPr>
  </w:style>
  <w:style w:type="character" w:customStyle="1" w:styleId="205">
    <w:name w:val="Заголовок 6 Знак"/>
    <w:link w:val="7"/>
    <w:uiPriority w:val="0"/>
    <w:rPr>
      <w:sz w:val="28"/>
      <w:lang w:val="ru-RU" w:eastAsia="ru-RU" w:bidi="ar-SA"/>
    </w:rPr>
  </w:style>
  <w:style w:type="character" w:customStyle="1" w:styleId="206">
    <w:name w:val="Заголовок 7 Знак"/>
    <w:link w:val="8"/>
    <w:uiPriority w:val="0"/>
    <w:rPr>
      <w:b/>
      <w:sz w:val="24"/>
      <w:lang w:val="ru-RU" w:eastAsia="ru-RU" w:bidi="ar-SA"/>
    </w:rPr>
  </w:style>
  <w:style w:type="character" w:customStyle="1" w:styleId="207">
    <w:name w:val="Заголовок 8 Знак"/>
    <w:link w:val="9"/>
    <w:uiPriority w:val="0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208">
    <w:name w:val="Заголовок 9 Знак"/>
    <w:link w:val="10"/>
    <w:uiPriority w:val="0"/>
    <w:rPr>
      <w:spacing w:val="-3"/>
      <w:sz w:val="28"/>
      <w:szCs w:val="28"/>
      <w:lang w:val="ru-RU" w:eastAsia="ru-RU" w:bidi="ar-SA"/>
    </w:rPr>
  </w:style>
  <w:style w:type="character" w:customStyle="1" w:styleId="209">
    <w:name w:val="Основной текст Знак1"/>
    <w:link w:val="27"/>
    <w:semiHidden/>
    <w:uiPriority w:val="0"/>
    <w:rPr>
      <w:rFonts w:cs="Times New Roman"/>
      <w:sz w:val="24"/>
      <w:szCs w:val="24"/>
    </w:rPr>
  </w:style>
  <w:style w:type="character" w:customStyle="1" w:styleId="210">
    <w:name w:val="Текст выноски Знак"/>
    <w:link w:val="11"/>
    <w:semiHidden/>
    <w:uiPriority w:val="0"/>
    <w:rPr>
      <w:rFonts w:cs="Times New Roman"/>
      <w:sz w:val="2"/>
    </w:rPr>
  </w:style>
  <w:style w:type="paragraph" w:customStyle="1" w:styleId="211">
    <w:name w:val="Char"/>
    <w:basedOn w:val="1"/>
    <w:uiPriority w:val="0"/>
    <w:pPr>
      <w:keepLines/>
      <w:spacing w:after="160" w:line="240" w:lineRule="exact"/>
    </w:pPr>
    <w:rPr>
      <w:rFonts w:ascii="Verdana" w:hAnsi="Verdana" w:eastAsia="MS Mincho" w:cs="Franklin Gothic Book"/>
      <w:sz w:val="20"/>
      <w:szCs w:val="20"/>
      <w:lang w:val="en-US" w:eastAsia="en-US"/>
    </w:rPr>
  </w:style>
  <w:style w:type="paragraph" w:customStyle="1" w:styleId="212">
    <w:name w:val="Îáû÷íûé"/>
    <w:uiPriority w:val="0"/>
    <w:pPr>
      <w:widowControl w:val="0"/>
      <w:ind w:firstLine="851"/>
      <w:jc w:val="both"/>
    </w:pPr>
    <w:rPr>
      <w:rFonts w:ascii="Arial" w:hAnsi="Arial" w:eastAsiaTheme="minorEastAsia" w:cstheme="minorBidi"/>
      <w:color w:val="000000"/>
      <w:sz w:val="24"/>
      <w:szCs w:val="24"/>
      <w:lang w:val="ru-RU" w:eastAsia="ru-RU" w:bidi="ar-SA"/>
    </w:rPr>
  </w:style>
  <w:style w:type="character" w:customStyle="1" w:styleId="213">
    <w:name w:val="Текст примечания Знак"/>
    <w:link w:val="18"/>
    <w:uiPriority w:val="0"/>
    <w:rPr>
      <w:rFonts w:cs="Times New Roman"/>
    </w:rPr>
  </w:style>
  <w:style w:type="character" w:customStyle="1" w:styleId="214">
    <w:name w:val="Тема примечания Знак"/>
    <w:link w:val="20"/>
    <w:semiHidden/>
    <w:uiPriority w:val="0"/>
    <w:rPr>
      <w:rFonts w:cs="Times New Roman"/>
      <w:b/>
      <w:bCs/>
    </w:rPr>
  </w:style>
  <w:style w:type="character" w:customStyle="1" w:styleId="215">
    <w:name w:val="Верхний колонтитул Знак"/>
    <w:link w:val="24"/>
    <w:uiPriority w:val="0"/>
    <w:rPr>
      <w:rFonts w:cs="Times New Roman"/>
      <w:sz w:val="24"/>
      <w:szCs w:val="24"/>
    </w:rPr>
  </w:style>
  <w:style w:type="character" w:customStyle="1" w:styleId="216">
    <w:name w:val="Нижний колонтитул Знак"/>
    <w:link w:val="38"/>
    <w:uiPriority w:val="99"/>
    <w:rPr>
      <w:rFonts w:cs="Times New Roman"/>
      <w:sz w:val="24"/>
      <w:szCs w:val="24"/>
    </w:rPr>
  </w:style>
  <w:style w:type="character" w:customStyle="1" w:styleId="217">
    <w:name w:val="Текст сноски Знак"/>
    <w:link w:val="22"/>
    <w:semiHidden/>
    <w:uiPriority w:val="0"/>
    <w:rPr>
      <w:rFonts w:cs="Times New Roman"/>
    </w:rPr>
  </w:style>
  <w:style w:type="character" w:customStyle="1" w:styleId="218">
    <w:name w:val="Основной текст с отступом 2 Знак"/>
    <w:link w:val="41"/>
    <w:semiHidden/>
    <w:uiPriority w:val="0"/>
    <w:rPr>
      <w:rFonts w:cs="Times New Roman"/>
      <w:sz w:val="24"/>
      <w:lang w:val="ru-RU" w:eastAsia="en-US" w:bidi="ar-SA"/>
    </w:rPr>
  </w:style>
  <w:style w:type="character" w:customStyle="1" w:styleId="219">
    <w:name w:val="Основной текст с отступом Знак"/>
    <w:link w:val="35"/>
    <w:semiHidden/>
    <w:uiPriority w:val="0"/>
    <w:rPr>
      <w:rFonts w:cs="Times New Roman"/>
      <w:sz w:val="24"/>
      <w:szCs w:val="24"/>
    </w:rPr>
  </w:style>
  <w:style w:type="character" w:customStyle="1" w:styleId="220">
    <w:name w:val="Основной текст 2 Знак"/>
    <w:link w:val="13"/>
    <w:semiHidden/>
    <w:uiPriority w:val="0"/>
    <w:rPr>
      <w:rFonts w:cs="Times New Roman"/>
      <w:sz w:val="24"/>
      <w:szCs w:val="24"/>
    </w:rPr>
  </w:style>
  <w:style w:type="character" w:customStyle="1" w:styleId="221">
    <w:name w:val="Основной текст с отступом 3 Знак"/>
    <w:link w:val="15"/>
    <w:semiHidden/>
    <w:uiPriority w:val="0"/>
    <w:rPr>
      <w:rFonts w:cs="Times New Roman"/>
      <w:sz w:val="16"/>
      <w:szCs w:val="16"/>
    </w:rPr>
  </w:style>
  <w:style w:type="paragraph" w:customStyle="1" w:styleId="222">
    <w:name w:val="абзац"/>
    <w:basedOn w:val="1"/>
    <w:link w:val="223"/>
    <w:uiPriority w:val="0"/>
    <w:pPr>
      <w:spacing w:line="360" w:lineRule="auto"/>
      <w:ind w:firstLine="851"/>
      <w:jc w:val="both"/>
    </w:pPr>
    <w:rPr>
      <w:szCs w:val="20"/>
    </w:rPr>
  </w:style>
  <w:style w:type="character" w:customStyle="1" w:styleId="223">
    <w:name w:val="абзац Знак"/>
    <w:link w:val="222"/>
    <w:uiPriority w:val="0"/>
    <w:rPr>
      <w:rFonts w:cs="Times New Roman"/>
      <w:sz w:val="24"/>
      <w:lang w:val="ru-RU" w:eastAsia="ru-RU" w:bidi="ar-SA"/>
    </w:rPr>
  </w:style>
  <w:style w:type="character" w:customStyle="1" w:styleId="224">
    <w:name w:val="абзац Знак1"/>
    <w:uiPriority w:val="0"/>
    <w:rPr>
      <w:rFonts w:cs="Times New Roman"/>
      <w:sz w:val="24"/>
      <w:lang w:val="ru-RU" w:eastAsia="ru-RU" w:bidi="ar-SA"/>
    </w:rPr>
  </w:style>
  <w:style w:type="paragraph" w:customStyle="1" w:styleId="225">
    <w:name w:val="абзац Знак Знак Знак Знак"/>
    <w:basedOn w:val="1"/>
    <w:link w:val="226"/>
    <w:uiPriority w:val="0"/>
    <w:pPr>
      <w:spacing w:line="360" w:lineRule="auto"/>
      <w:ind w:firstLine="851"/>
      <w:jc w:val="both"/>
    </w:pPr>
    <w:rPr>
      <w:szCs w:val="20"/>
    </w:rPr>
  </w:style>
  <w:style w:type="character" w:customStyle="1" w:styleId="226">
    <w:name w:val="абзац Знак Знак Знак Знак Знак"/>
    <w:link w:val="225"/>
    <w:uiPriority w:val="0"/>
    <w:rPr>
      <w:sz w:val="24"/>
      <w:lang w:val="ru-RU" w:eastAsia="ru-RU" w:bidi="ar-SA"/>
    </w:rPr>
  </w:style>
  <w:style w:type="character" w:customStyle="1" w:styleId="227">
    <w:name w:val="Знак Знак6"/>
    <w:semiHidden/>
    <w:uiPriority w:val="0"/>
    <w:rPr>
      <w:sz w:val="24"/>
      <w:lang w:val="ru-RU" w:eastAsia="en-US" w:bidi="ar-SA"/>
    </w:rPr>
  </w:style>
  <w:style w:type="paragraph" w:customStyle="1" w:styleId="228">
    <w:name w:val="Приложение"/>
    <w:basedOn w:val="1"/>
    <w:link w:val="229"/>
    <w:qFormat/>
    <w:uiPriority w:val="0"/>
    <w:pPr>
      <w:ind w:left="5670"/>
      <w:outlineLvl w:val="0"/>
    </w:pPr>
    <w:rPr>
      <w:b/>
      <w:bCs/>
      <w:lang w:eastAsia="en-US"/>
    </w:rPr>
  </w:style>
  <w:style w:type="character" w:customStyle="1" w:styleId="229">
    <w:name w:val="Приложение Знак"/>
    <w:link w:val="228"/>
    <w:uiPriority w:val="0"/>
    <w:rPr>
      <w:b/>
      <w:bCs/>
      <w:sz w:val="24"/>
      <w:szCs w:val="24"/>
      <w:lang w:val="ru-RU" w:eastAsia="en-US" w:bidi="ar-SA"/>
    </w:rPr>
  </w:style>
  <w:style w:type="paragraph" w:customStyle="1" w:styleId="230">
    <w:name w:val="Приложение заголовок"/>
    <w:basedOn w:val="1"/>
    <w:link w:val="231"/>
    <w:qFormat/>
    <w:uiPriority w:val="0"/>
    <w:pPr>
      <w:tabs>
        <w:tab w:val="left" w:pos="0"/>
      </w:tabs>
      <w:jc w:val="center"/>
      <w:outlineLvl w:val="0"/>
    </w:pPr>
    <w:rPr>
      <w:b/>
      <w:bCs/>
      <w:lang w:eastAsia="en-US"/>
    </w:rPr>
  </w:style>
  <w:style w:type="character" w:customStyle="1" w:styleId="231">
    <w:name w:val="Приложение заголовок Знак"/>
    <w:link w:val="230"/>
    <w:uiPriority w:val="0"/>
    <w:rPr>
      <w:b/>
      <w:bCs/>
      <w:sz w:val="24"/>
      <w:szCs w:val="24"/>
      <w:lang w:val="ru-RU" w:eastAsia="en-US" w:bidi="ar-SA"/>
    </w:rPr>
  </w:style>
  <w:style w:type="paragraph" w:customStyle="1" w:styleId="232">
    <w:name w:val="Приложение 3_N"/>
    <w:basedOn w:val="1"/>
    <w:link w:val="233"/>
    <w:qFormat/>
    <w:uiPriority w:val="0"/>
    <w:pPr>
      <w:ind w:left="5103"/>
      <w:outlineLvl w:val="0"/>
    </w:pPr>
    <w:rPr>
      <w:b/>
      <w:bCs/>
      <w:lang w:eastAsia="en-US"/>
    </w:rPr>
  </w:style>
  <w:style w:type="character" w:customStyle="1" w:styleId="233">
    <w:name w:val="Приложение 3_N Знак"/>
    <w:link w:val="232"/>
    <w:uiPriority w:val="0"/>
    <w:rPr>
      <w:b/>
      <w:bCs/>
      <w:sz w:val="24"/>
      <w:szCs w:val="24"/>
      <w:lang w:val="ru-RU" w:eastAsia="en-US" w:bidi="ar-SA"/>
    </w:rPr>
  </w:style>
  <w:style w:type="paragraph" w:customStyle="1" w:styleId="234">
    <w:name w:val="Приложение 3_N заг"/>
    <w:basedOn w:val="1"/>
    <w:link w:val="235"/>
    <w:qFormat/>
    <w:uiPriority w:val="0"/>
    <w:pPr>
      <w:keepNext/>
      <w:tabs>
        <w:tab w:val="left" w:pos="10206"/>
      </w:tabs>
      <w:jc w:val="center"/>
    </w:pPr>
    <w:rPr>
      <w:b/>
      <w:bCs/>
      <w:lang w:eastAsia="en-US"/>
    </w:rPr>
  </w:style>
  <w:style w:type="character" w:customStyle="1" w:styleId="235">
    <w:name w:val="Приложение 3_N заг Знак"/>
    <w:link w:val="234"/>
    <w:uiPriority w:val="0"/>
    <w:rPr>
      <w:b/>
      <w:bCs/>
      <w:sz w:val="24"/>
      <w:szCs w:val="24"/>
      <w:lang w:val="ru-RU" w:eastAsia="en-US" w:bidi="ar-SA"/>
    </w:rPr>
  </w:style>
  <w:style w:type="paragraph" w:customStyle="1" w:styleId="236">
    <w:name w:val="Таблица_Строка"/>
    <w:basedOn w:val="1"/>
    <w:uiPriority w:val="0"/>
    <w:pPr>
      <w:spacing w:before="120"/>
    </w:pPr>
    <w:rPr>
      <w:rFonts w:ascii="Arial" w:hAnsi="Arial"/>
      <w:sz w:val="20"/>
      <w:szCs w:val="20"/>
    </w:rPr>
  </w:style>
  <w:style w:type="paragraph" w:customStyle="1" w:styleId="237">
    <w:name w:val="ConsPlusNormal"/>
    <w:uiPriority w:val="0"/>
    <w:pPr>
      <w:widowControl w:val="0"/>
      <w:ind w:firstLine="720"/>
    </w:pPr>
    <w:rPr>
      <w:rFonts w:ascii="Arial" w:hAnsi="Arial" w:cs="Arial" w:eastAsiaTheme="minorEastAsia"/>
      <w:color w:val="000000"/>
      <w:sz w:val="24"/>
      <w:szCs w:val="24"/>
      <w:lang w:val="ru-RU" w:eastAsia="ru-RU" w:bidi="ar-SA"/>
    </w:rPr>
  </w:style>
  <w:style w:type="paragraph" w:customStyle="1" w:styleId="238">
    <w:name w:val="Revision"/>
    <w:hidden/>
    <w:semiHidden/>
    <w:uiPriority w:val="0"/>
    <w:rPr>
      <w:rFonts w:asciiTheme="minorHAnsi" w:hAnsiTheme="minorHAnsi" w:eastAsiaTheme="minorEastAsia" w:cstheme="minorBidi"/>
      <w:color w:val="000000"/>
      <w:sz w:val="24"/>
      <w:szCs w:val="24"/>
      <w:lang w:val="ru-RU" w:eastAsia="en-US" w:bidi="ar-SA"/>
    </w:rPr>
  </w:style>
  <w:style w:type="character" w:customStyle="1" w:styleId="239">
    <w:name w:val="Знак Знак5"/>
    <w:uiPriority w:val="0"/>
    <w:rPr>
      <w:sz w:val="24"/>
      <w:lang w:val="ru-RU" w:eastAsia="ru-RU" w:bidi="ar-SA"/>
    </w:rPr>
  </w:style>
  <w:style w:type="character" w:customStyle="1" w:styleId="240">
    <w:name w:val="(части) Знак Знак"/>
    <w:uiPriority w:val="0"/>
    <w:rPr>
      <w:b/>
      <w:bCs/>
      <w:sz w:val="30"/>
      <w:szCs w:val="32"/>
      <w:lang w:val="ru-RU" w:eastAsia="en-US" w:bidi="ar-SA"/>
    </w:rPr>
  </w:style>
  <w:style w:type="character" w:customStyle="1" w:styleId="241">
    <w:name w:val="Заголовок 1 Знак"/>
    <w:uiPriority w:val="0"/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customStyle="1" w:styleId="242">
    <w:name w:val="THKaddress"/>
    <w:basedOn w:val="243"/>
    <w:uiPriority w:val="0"/>
    <w:pPr>
      <w:spacing w:before="0"/>
    </w:pPr>
    <w:rPr>
      <w:b w:val="0"/>
    </w:rPr>
  </w:style>
  <w:style w:type="paragraph" w:customStyle="1" w:styleId="243">
    <w:name w:val="THKfullname"/>
    <w:basedOn w:val="1"/>
    <w:next w:val="242"/>
    <w:uiPriority w:val="0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244">
    <w:name w:val="List Paragraph"/>
    <w:basedOn w:val="1"/>
    <w:qFormat/>
    <w:uiPriority w:val="34"/>
    <w:pPr>
      <w:ind w:left="720"/>
      <w:contextualSpacing/>
    </w:pPr>
    <w:rPr>
      <w:szCs w:val="20"/>
      <w:lang w:eastAsia="en-US"/>
    </w:rPr>
  </w:style>
  <w:style w:type="character" w:customStyle="1" w:styleId="245">
    <w:name w:val="bt Знак Знак"/>
    <w:uiPriority w:val="0"/>
    <w:rPr>
      <w:rFonts w:ascii="Courier New" w:hAnsi="Courier New"/>
      <w:sz w:val="26"/>
      <w:lang w:bidi="ar-SA"/>
    </w:rPr>
  </w:style>
  <w:style w:type="character" w:customStyle="1" w:styleId="246">
    <w:name w:val="Основной текст Знак"/>
    <w:uiPriority w:val="0"/>
    <w:rPr>
      <w:rFonts w:ascii="Courier New" w:hAnsi="Courier New" w:eastAsia="Times New Roman" w:cs="Times New Roman"/>
      <w:sz w:val="24"/>
      <w:szCs w:val="20"/>
    </w:rPr>
  </w:style>
  <w:style w:type="character" w:customStyle="1" w:styleId="247">
    <w:name w:val="Основной текст 3 Знак"/>
    <w:link w:val="40"/>
    <w:uiPriority w:val="0"/>
    <w:rPr>
      <w:sz w:val="16"/>
      <w:szCs w:val="16"/>
      <w:lang w:val="ru-RU" w:eastAsia="ru-RU" w:bidi="ar-SA"/>
    </w:rPr>
  </w:style>
  <w:style w:type="character" w:customStyle="1" w:styleId="248">
    <w:name w:val="Схема документа Знак"/>
    <w:link w:val="21"/>
    <w:semiHidden/>
    <w:uiPriority w:val="0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249">
    <w:name w:val="Стиль Заголовок 1 + Times New Roman 14 pt + 16 pt"/>
    <w:basedOn w:val="1"/>
    <w:uiPriority w:val="0"/>
    <w:pPr>
      <w:keepNext/>
      <w:numPr>
        <w:ilvl w:val="0"/>
        <w:numId w:val="3"/>
      </w:numPr>
      <w:tabs>
        <w:tab w:val="left" w:pos="726"/>
        <w:tab w:val="left" w:pos="1224"/>
        <w:tab w:val="clear" w:pos="2292"/>
      </w:tabs>
      <w:spacing w:before="360" w:after="240"/>
      <w:ind w:left="743" w:hanging="17"/>
      <w:jc w:val="both"/>
      <w:outlineLvl w:val="0"/>
    </w:pPr>
    <w:rPr>
      <w:rFonts w:cs="Arial"/>
      <w:b/>
      <w:bCs/>
      <w:sz w:val="32"/>
      <w:szCs w:val="32"/>
    </w:rPr>
  </w:style>
  <w:style w:type="character" w:customStyle="1" w:styleId="250">
    <w:name w:val="Знак Знак3"/>
    <w:uiPriority w:val="0"/>
    <w:rPr>
      <w:sz w:val="24"/>
      <w:szCs w:val="24"/>
      <w:lang w:val="ru-RU" w:eastAsia="ru-RU" w:bidi="ar-SA"/>
    </w:rPr>
  </w:style>
  <w:style w:type="character" w:customStyle="1" w:styleId="251">
    <w:name w:val="Знак Знак2"/>
    <w:uiPriority w:val="0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252">
    <w:name w:val="ВерхКолонтитул Знак"/>
    <w:uiPriority w:val="0"/>
    <w:rPr>
      <w:rFonts w:ascii="Times New Roman CYR" w:hAnsi="Times New Roman CYR"/>
      <w:lang w:val="ru-RU" w:eastAsia="ru-RU" w:bidi="ar-SA"/>
    </w:rPr>
  </w:style>
  <w:style w:type="paragraph" w:customStyle="1" w:styleId="253">
    <w:name w:val="штамп_11"/>
    <w:basedOn w:val="1"/>
    <w:uiPriority w:val="0"/>
    <w:pPr>
      <w:jc w:val="center"/>
    </w:pPr>
    <w:rPr>
      <w:b/>
      <w:bCs/>
      <w:sz w:val="22"/>
    </w:rPr>
  </w:style>
  <w:style w:type="paragraph" w:customStyle="1" w:styleId="254">
    <w:name w:val="font5"/>
    <w:basedOn w:val="1"/>
    <w:uiPriority w:val="0"/>
    <w:pPr>
      <w:spacing w:before="100" w:after="100"/>
    </w:pPr>
    <w:rPr>
      <w:rFonts w:ascii="Arial" w:hAnsi="Arial" w:eastAsia="Arial Unicode MS" w:cs="Arial"/>
      <w:szCs w:val="20"/>
    </w:rPr>
  </w:style>
  <w:style w:type="paragraph" w:customStyle="1" w:styleId="255">
    <w:name w:val="ConsTitle"/>
    <w:uiPriority w:val="0"/>
    <w:pPr>
      <w:widowControl w:val="0"/>
    </w:pPr>
    <w:rPr>
      <w:rFonts w:ascii="Arial" w:hAnsi="Arial" w:cs="Arial" w:eastAsiaTheme="minorEastAsia"/>
      <w:b/>
      <w:bCs/>
      <w:color w:val="000000"/>
      <w:sz w:val="16"/>
      <w:szCs w:val="16"/>
      <w:lang w:val="ru-RU" w:eastAsia="ru-RU" w:bidi="ar-SA"/>
    </w:rPr>
  </w:style>
  <w:style w:type="paragraph" w:customStyle="1" w:styleId="256">
    <w:name w:val="ConsPlusNonformat"/>
    <w:uiPriority w:val="0"/>
    <w:pPr>
      <w:widowControl w:val="0"/>
    </w:pPr>
    <w:rPr>
      <w:rFonts w:ascii="Courier New" w:hAnsi="Courier New" w:cs="Courier New" w:eastAsiaTheme="minorEastAsia"/>
      <w:color w:val="000000"/>
      <w:sz w:val="24"/>
      <w:szCs w:val="24"/>
      <w:lang w:val="ru-RU" w:eastAsia="ru-RU" w:bidi="ar-SA"/>
    </w:rPr>
  </w:style>
  <w:style w:type="paragraph" w:customStyle="1" w:styleId="257">
    <w:name w:val="xl30"/>
    <w:basedOn w:val="1"/>
    <w:uiPriority w:val="0"/>
    <w:pPr>
      <w:spacing w:before="280" w:after="280"/>
      <w:jc w:val="center"/>
    </w:pPr>
    <w:rPr>
      <w:sz w:val="22"/>
      <w:szCs w:val="22"/>
      <w:lang w:eastAsia="ar-SA"/>
    </w:rPr>
  </w:style>
  <w:style w:type="paragraph" w:customStyle="1" w:styleId="258">
    <w:name w:val="Табличноый заголовок"/>
    <w:basedOn w:val="1"/>
    <w:uiPriority w:val="0"/>
    <w:pPr>
      <w:jc w:val="center"/>
    </w:pPr>
    <w:rPr>
      <w:b/>
      <w:bCs/>
      <w:szCs w:val="20"/>
      <w:lang w:eastAsia="ar-SA"/>
    </w:rPr>
  </w:style>
  <w:style w:type="character" w:customStyle="1" w:styleId="259">
    <w:name w:val="Название Знак"/>
    <w:link w:val="37"/>
    <w:uiPriority w:val="0"/>
    <w:rPr>
      <w:b/>
      <w:sz w:val="24"/>
      <w:lang w:val="ru-RU" w:eastAsia="ru-RU" w:bidi="ar-SA"/>
    </w:rPr>
  </w:style>
  <w:style w:type="paragraph" w:customStyle="1" w:styleId="260">
    <w:name w:val="УГТП-Текст"/>
    <w:basedOn w:val="1"/>
    <w:uiPriority w:val="0"/>
    <w:pPr>
      <w:ind w:left="284" w:right="284" w:firstLine="851"/>
      <w:jc w:val="both"/>
    </w:pPr>
    <w:rPr>
      <w:rFonts w:ascii="Arial" w:hAnsi="Arial" w:cs="Arial"/>
    </w:rPr>
  </w:style>
  <w:style w:type="paragraph" w:customStyle="1" w:styleId="261">
    <w:name w:val="ConsNonformat"/>
    <w:uiPriority w:val="0"/>
    <w:pPr>
      <w:widowControl w:val="0"/>
      <w:ind w:right="19772"/>
    </w:pPr>
    <w:rPr>
      <w:rFonts w:ascii="Courier New" w:hAnsi="Courier New" w:cs="Courier New" w:eastAsiaTheme="minorEastAsia"/>
      <w:color w:val="000000"/>
      <w:sz w:val="16"/>
      <w:szCs w:val="16"/>
      <w:lang w:val="ru-RU" w:eastAsia="ru-RU" w:bidi="ar-SA"/>
    </w:rPr>
  </w:style>
  <w:style w:type="paragraph" w:customStyle="1" w:styleId="262">
    <w:name w:val="WW-Заголовок таблицы ссылок1"/>
    <w:basedOn w:val="1"/>
    <w:next w:val="1"/>
    <w:uiPriority w:val="0"/>
    <w:pPr>
      <w:jc w:val="center"/>
    </w:pPr>
    <w:rPr>
      <w:sz w:val="20"/>
      <w:szCs w:val="20"/>
      <w:lang w:eastAsia="ar-SA"/>
    </w:rPr>
  </w:style>
  <w:style w:type="paragraph" w:customStyle="1" w:styleId="263">
    <w:name w:val="WW-Основной текст с отступом 2"/>
    <w:basedOn w:val="1"/>
    <w:uiPriority w:val="0"/>
    <w:pPr>
      <w:ind w:firstLine="454"/>
    </w:pPr>
    <w:rPr>
      <w:sz w:val="28"/>
      <w:szCs w:val="20"/>
      <w:lang w:eastAsia="ar-SA"/>
    </w:rPr>
  </w:style>
  <w:style w:type="paragraph" w:customStyle="1" w:styleId="264">
    <w:name w:val="WW-Заголовок таблицы ссылок"/>
    <w:basedOn w:val="1"/>
    <w:next w:val="1"/>
    <w:uiPriority w:val="0"/>
    <w:pPr>
      <w:jc w:val="center"/>
    </w:pPr>
    <w:rPr>
      <w:szCs w:val="20"/>
      <w:lang w:eastAsia="ar-SA"/>
    </w:rPr>
  </w:style>
  <w:style w:type="paragraph" w:customStyle="1" w:styleId="265">
    <w:name w:val="Табличные данные"/>
    <w:basedOn w:val="1"/>
    <w:uiPriority w:val="0"/>
    <w:pPr>
      <w:jc w:val="center"/>
    </w:pPr>
    <w:rPr>
      <w:szCs w:val="20"/>
      <w:lang w:eastAsia="ar-SA"/>
    </w:rPr>
  </w:style>
  <w:style w:type="paragraph" w:customStyle="1" w:styleId="266">
    <w:name w:val="xl31"/>
    <w:basedOn w:val="1"/>
    <w:uiPriority w:val="0"/>
    <w:pPr>
      <w:pBdr>
        <w:left w:val="single" w:color="000000" w:sz="0" w:space="0"/>
        <w:bottom w:val="single" w:color="000000" w:sz="0" w:space="0"/>
        <w:right w:val="single" w:color="000000" w:sz="0" w:space="0"/>
      </w:pBdr>
      <w:spacing w:before="280" w:after="280"/>
      <w:jc w:val="center"/>
    </w:pPr>
    <w:rPr>
      <w:lang w:eastAsia="ar-SA"/>
    </w:rPr>
  </w:style>
  <w:style w:type="paragraph" w:customStyle="1" w:styleId="267">
    <w:name w:val="Table Head OSRP SEIC"/>
    <w:basedOn w:val="1"/>
    <w:uiPriority w:val="0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268">
    <w:name w:val="Table Text OSRP SEIC"/>
    <w:basedOn w:val="1"/>
    <w:uiPriority w:val="0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269">
    <w:name w:val="Обычный1"/>
    <w:uiPriority w:val="0"/>
    <w:rPr>
      <w:rFonts w:asciiTheme="minorHAnsi" w:hAnsiTheme="minorHAnsi" w:eastAsiaTheme="minorEastAsia" w:cstheme="minorBidi"/>
      <w:color w:val="000000"/>
      <w:sz w:val="24"/>
      <w:szCs w:val="24"/>
      <w:lang w:val="ru-RU" w:eastAsia="ru-RU" w:bidi="ar-SA"/>
    </w:rPr>
  </w:style>
  <w:style w:type="paragraph" w:customStyle="1" w:styleId="270">
    <w:name w:val="Стиль7"/>
    <w:basedOn w:val="1"/>
    <w:uiPriority w:val="0"/>
    <w:pPr>
      <w:numPr>
        <w:ilvl w:val="1"/>
        <w:numId w:val="4"/>
      </w:numPr>
      <w:spacing w:before="240" w:after="240"/>
    </w:pPr>
    <w:rPr>
      <w:b/>
      <w:sz w:val="28"/>
    </w:rPr>
  </w:style>
  <w:style w:type="paragraph" w:customStyle="1" w:styleId="271">
    <w:name w:val="Стиль Основной текст с отступом 3 + 12 пт Слева:  002 см Первая ..."/>
    <w:basedOn w:val="15"/>
    <w:uiPriority w:val="0"/>
    <w:pPr>
      <w:tabs>
        <w:tab w:val="left" w:pos="1440"/>
        <w:tab w:val="clear" w:pos="252"/>
        <w:tab w:val="clear" w:pos="342"/>
      </w:tabs>
      <w:spacing w:line="360" w:lineRule="auto"/>
      <w:ind w:left="11" w:firstLine="704"/>
    </w:pPr>
    <w:rPr>
      <w:sz w:val="24"/>
      <w:szCs w:val="20"/>
    </w:rPr>
  </w:style>
  <w:style w:type="paragraph" w:customStyle="1" w:styleId="272">
    <w:name w:val="Примечание"/>
    <w:basedOn w:val="1"/>
    <w:next w:val="13"/>
    <w:uiPriority w:val="0"/>
    <w:pPr>
      <w:shd w:val="clear" w:color="auto" w:fill="FFFFFF"/>
      <w:spacing w:before="29" w:line="348" w:lineRule="auto"/>
      <w:ind w:left="-6" w:firstLine="564"/>
      <w:jc w:val="both"/>
    </w:pPr>
    <w:rPr>
      <w:spacing w:val="60"/>
      <w:sz w:val="20"/>
      <w:szCs w:val="20"/>
    </w:rPr>
  </w:style>
  <w:style w:type="paragraph" w:customStyle="1" w:styleId="273">
    <w:name w:val="font6"/>
    <w:basedOn w:val="1"/>
    <w:qFormat/>
    <w:uiPriority w:val="0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274">
    <w:name w:val="font7"/>
    <w:basedOn w:val="1"/>
    <w:uiPriority w:val="0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275">
    <w:name w:val="font8"/>
    <w:basedOn w:val="1"/>
    <w:uiPriority w:val="0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276">
    <w:name w:val="xl2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Arial Unicode MS"/>
    </w:rPr>
  </w:style>
  <w:style w:type="paragraph" w:customStyle="1" w:styleId="277">
    <w:name w:val="xl25"/>
    <w:basedOn w:val="1"/>
    <w:uiPriority w:val="0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278">
    <w:name w:val="xl26"/>
    <w:basedOn w:val="1"/>
    <w:uiPriority w:val="0"/>
    <w:pPr>
      <w:spacing w:before="100" w:beforeAutospacing="1" w:after="100" w:afterAutospacing="1"/>
    </w:pPr>
    <w:rPr>
      <w:rFonts w:eastAsia="Arial Unicode MS"/>
    </w:rPr>
  </w:style>
  <w:style w:type="paragraph" w:customStyle="1" w:styleId="279">
    <w:name w:val="xl27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280">
    <w:name w:val="xl2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281">
    <w:name w:val="xl2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282">
    <w:name w:val="xl32"/>
    <w:basedOn w:val="1"/>
    <w:uiPriority w:val="0"/>
    <w:pPr>
      <w:spacing w:before="100" w:beforeAutospacing="1" w:after="100" w:afterAutospacing="1"/>
    </w:pPr>
    <w:rPr>
      <w:rFonts w:ascii="Arial" w:hAnsi="Arial" w:eastAsia="Arial Unicode MS" w:cs="Arial"/>
    </w:rPr>
  </w:style>
  <w:style w:type="paragraph" w:customStyle="1" w:styleId="283">
    <w:name w:val="xl33"/>
    <w:basedOn w:val="1"/>
    <w:uiPriority w:val="0"/>
    <w:pPr>
      <w:pBdr>
        <w:bottom w:val="single" w:color="auto" w:sz="4" w:space="0"/>
      </w:pBdr>
      <w:spacing w:before="100" w:beforeAutospacing="1" w:after="100" w:afterAutospacing="1"/>
    </w:pPr>
    <w:rPr>
      <w:rFonts w:eastAsia="Arial Unicode MS"/>
    </w:rPr>
  </w:style>
  <w:style w:type="paragraph" w:customStyle="1" w:styleId="284">
    <w:name w:val="xl3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285">
    <w:name w:val="xl3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86">
    <w:name w:val="xl36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87">
    <w:name w:val="xl3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88">
    <w:name w:val="xl38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89">
    <w:name w:val="xl39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90">
    <w:name w:val="xl40"/>
    <w:basedOn w:val="1"/>
    <w:uiPriority w:val="0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291">
    <w:name w:val="xl41"/>
    <w:basedOn w:val="1"/>
    <w:uiPriority w:val="0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292">
    <w:name w:val="xl4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93">
    <w:name w:val="xl43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94">
    <w:name w:val="xl4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95">
    <w:name w:val="xl45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96">
    <w:name w:val="xl46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297">
    <w:name w:val="Heading"/>
    <w:qFormat/>
    <w:uiPriority w:val="0"/>
    <w:pPr>
      <w:widowControl w:val="0"/>
    </w:pPr>
    <w:rPr>
      <w:rFonts w:ascii="Arial" w:hAnsi="Arial" w:cs="Arial" w:eastAsiaTheme="minorEastAsia"/>
      <w:b/>
      <w:bCs/>
      <w:color w:val="000000"/>
      <w:sz w:val="22"/>
      <w:szCs w:val="22"/>
      <w:lang w:val="ru-RU" w:eastAsia="ru-RU" w:bidi="ar-SA"/>
    </w:rPr>
  </w:style>
  <w:style w:type="character" w:customStyle="1" w:styleId="298">
    <w:name w:val="apple-style-span"/>
    <w:basedOn w:val="44"/>
    <w:uiPriority w:val="0"/>
  </w:style>
  <w:style w:type="character" w:customStyle="1" w:styleId="299">
    <w:name w:val="text1"/>
    <w:uiPriority w:val="0"/>
    <w:rPr>
      <w:rFonts w:hint="default" w:ascii="Tahoma" w:hAnsi="Tahoma" w:cs="Tahoma"/>
      <w:color w:val="000000"/>
      <w:sz w:val="20"/>
      <w:szCs w:val="20"/>
    </w:rPr>
  </w:style>
  <w:style w:type="paragraph" w:customStyle="1" w:styleId="300">
    <w:name w:val="Стиль1"/>
    <w:basedOn w:val="27"/>
    <w:link w:val="301"/>
    <w:qFormat/>
    <w:uiPriority w:val="0"/>
    <w:pPr>
      <w:numPr>
        <w:ilvl w:val="0"/>
        <w:numId w:val="4"/>
      </w:numPr>
      <w:jc w:val="center"/>
      <w:outlineLvl w:val="0"/>
    </w:pPr>
    <w:rPr>
      <w:rFonts w:ascii="Courier New" w:hAnsi="Courier New"/>
      <w:b/>
      <w:sz w:val="26"/>
      <w:szCs w:val="24"/>
    </w:rPr>
  </w:style>
  <w:style w:type="character" w:customStyle="1" w:styleId="301">
    <w:name w:val="Стиль1 Знак"/>
    <w:link w:val="300"/>
    <w:uiPriority w:val="0"/>
    <w:rPr>
      <w:rFonts w:ascii="Courier New" w:hAnsi="Courier New"/>
      <w:b/>
      <w:color w:val="000000"/>
      <w:sz w:val="26"/>
      <w:szCs w:val="24"/>
    </w:rPr>
  </w:style>
  <w:style w:type="paragraph" w:customStyle="1" w:styleId="302">
    <w:name w:val="Стиль2"/>
    <w:basedOn w:val="300"/>
    <w:link w:val="303"/>
    <w:uiPriority w:val="0"/>
    <w:pPr>
      <w:numPr>
        <w:numId w:val="0"/>
      </w:numPr>
      <w:tabs>
        <w:tab w:val="left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303">
    <w:name w:val="Стиль2 Знак"/>
    <w:link w:val="302"/>
    <w:uiPriority w:val="0"/>
    <w:rPr>
      <w:rFonts w:ascii="Courier New" w:hAnsi="Courier New"/>
      <w:color w:val="000000"/>
      <w:sz w:val="24"/>
      <w:szCs w:val="24"/>
    </w:rPr>
  </w:style>
  <w:style w:type="paragraph" w:customStyle="1" w:styleId="304">
    <w:name w:val="Стиль3"/>
    <w:basedOn w:val="1"/>
    <w:uiPriority w:val="0"/>
    <w:pPr>
      <w:numPr>
        <w:ilvl w:val="2"/>
        <w:numId w:val="4"/>
      </w:numPr>
      <w:ind w:left="0" w:firstLine="720"/>
      <w:jc w:val="both"/>
      <w:outlineLvl w:val="2"/>
    </w:pPr>
    <w:rPr>
      <w:szCs w:val="20"/>
      <w:lang w:eastAsia="en-US"/>
    </w:rPr>
  </w:style>
  <w:style w:type="paragraph" w:customStyle="1" w:styleId="305">
    <w:name w:val="Стиль4"/>
    <w:basedOn w:val="1"/>
    <w:link w:val="306"/>
    <w:qFormat/>
    <w:uiPriority w:val="0"/>
    <w:pPr>
      <w:ind w:left="5670"/>
      <w:outlineLvl w:val="0"/>
    </w:pPr>
    <w:rPr>
      <w:b/>
      <w:bCs/>
      <w:lang w:eastAsia="en-US"/>
    </w:rPr>
  </w:style>
  <w:style w:type="character" w:customStyle="1" w:styleId="306">
    <w:name w:val="Стиль4 Знак"/>
    <w:link w:val="305"/>
    <w:uiPriority w:val="0"/>
    <w:rPr>
      <w:b/>
      <w:bCs/>
      <w:sz w:val="24"/>
      <w:szCs w:val="24"/>
      <w:lang w:val="ru-RU" w:eastAsia="en-US" w:bidi="ar-SA"/>
    </w:rPr>
  </w:style>
  <w:style w:type="paragraph" w:customStyle="1" w:styleId="307">
    <w:name w:val="Стиль5"/>
    <w:basedOn w:val="2"/>
    <w:link w:val="308"/>
    <w:qFormat/>
    <w:uiPriority w:val="0"/>
    <w:pPr>
      <w:keepNext w:val="0"/>
      <w:tabs>
        <w:tab w:val="left" w:pos="0"/>
        <w:tab w:val="clear" w:pos="432"/>
      </w:tabs>
      <w:jc w:val="center"/>
    </w:pPr>
    <w:rPr>
      <w:b/>
      <w:bCs/>
      <w:i w:val="0"/>
      <w:color w:val="auto"/>
      <w:sz w:val="24"/>
      <w:szCs w:val="24"/>
      <w:lang w:eastAsia="en-US"/>
    </w:rPr>
  </w:style>
  <w:style w:type="character" w:customStyle="1" w:styleId="308">
    <w:name w:val="Стиль5 Знак"/>
    <w:link w:val="307"/>
    <w:uiPriority w:val="0"/>
    <w:rPr>
      <w:b/>
      <w:bCs/>
      <w:sz w:val="24"/>
      <w:szCs w:val="24"/>
      <w:lang w:val="ru-RU" w:eastAsia="en-US" w:bidi="ar-SA"/>
    </w:rPr>
  </w:style>
  <w:style w:type="paragraph" w:customStyle="1" w:styleId="309">
    <w:name w:val="Стиль6"/>
    <w:basedOn w:val="305"/>
    <w:link w:val="310"/>
    <w:qFormat/>
    <w:uiPriority w:val="0"/>
    <w:pPr>
      <w:ind w:left="10206"/>
    </w:pPr>
  </w:style>
  <w:style w:type="character" w:customStyle="1" w:styleId="310">
    <w:name w:val="Стиль6 Знак"/>
    <w:basedOn w:val="306"/>
    <w:link w:val="309"/>
    <w:uiPriority w:val="0"/>
    <w:rPr>
      <w:sz w:val="24"/>
      <w:szCs w:val="24"/>
      <w:lang w:val="ru-RU" w:eastAsia="en-US" w:bidi="ar-SA"/>
    </w:rPr>
  </w:style>
  <w:style w:type="paragraph" w:customStyle="1" w:styleId="311">
    <w:name w:val="Приложение альбом"/>
    <w:basedOn w:val="305"/>
    <w:link w:val="312"/>
    <w:qFormat/>
    <w:uiPriority w:val="0"/>
    <w:pPr>
      <w:ind w:left="10206"/>
    </w:pPr>
  </w:style>
  <w:style w:type="character" w:customStyle="1" w:styleId="312">
    <w:name w:val="Приложение альбом Знак"/>
    <w:basedOn w:val="306"/>
    <w:link w:val="311"/>
    <w:uiPriority w:val="0"/>
    <w:rPr>
      <w:sz w:val="24"/>
      <w:szCs w:val="24"/>
      <w:lang w:val="ru-RU" w:eastAsia="en-US" w:bidi="ar-SA"/>
    </w:rPr>
  </w:style>
  <w:style w:type="paragraph" w:customStyle="1" w:styleId="313">
    <w:name w:val="Приложение коммент"/>
    <w:basedOn w:val="2"/>
    <w:link w:val="314"/>
    <w:qFormat/>
    <w:uiPriority w:val="0"/>
    <w:pPr>
      <w:tabs>
        <w:tab w:val="left" w:pos="0"/>
        <w:tab w:val="left" w:pos="5954"/>
        <w:tab w:val="clear" w:pos="432"/>
      </w:tabs>
      <w:ind w:left="5670"/>
      <w:outlineLvl w:val="9"/>
    </w:pPr>
    <w:rPr>
      <w:bCs/>
      <w:i w:val="0"/>
      <w:color w:val="auto"/>
      <w:sz w:val="24"/>
      <w:szCs w:val="24"/>
      <w:lang w:eastAsia="en-US"/>
    </w:rPr>
  </w:style>
  <w:style w:type="character" w:customStyle="1" w:styleId="314">
    <w:name w:val="Приложение коммент Знак"/>
    <w:link w:val="313"/>
    <w:uiPriority w:val="0"/>
    <w:rPr>
      <w:b/>
      <w:bCs/>
      <w:sz w:val="24"/>
      <w:szCs w:val="24"/>
      <w:lang w:val="ru-RU" w:eastAsia="en-US" w:bidi="ar-SA"/>
    </w:rPr>
  </w:style>
  <w:style w:type="paragraph" w:customStyle="1" w:styleId="315">
    <w:name w:val="Приложение коммент альбом"/>
    <w:basedOn w:val="313"/>
    <w:link w:val="316"/>
    <w:qFormat/>
    <w:uiPriority w:val="0"/>
    <w:pPr>
      <w:ind w:left="10206"/>
    </w:pPr>
  </w:style>
  <w:style w:type="character" w:customStyle="1" w:styleId="316">
    <w:name w:val="Приложение коммент альбом Знак"/>
    <w:basedOn w:val="314"/>
    <w:link w:val="315"/>
    <w:uiPriority w:val="0"/>
    <w:rPr>
      <w:sz w:val="24"/>
      <w:szCs w:val="24"/>
      <w:lang w:val="ru-RU" w:eastAsia="en-US" w:bidi="ar-SA"/>
    </w:rPr>
  </w:style>
  <w:style w:type="paragraph" w:customStyle="1" w:styleId="317">
    <w:name w:val="Приложение 1_N"/>
    <w:basedOn w:val="1"/>
    <w:link w:val="318"/>
    <w:qFormat/>
    <w:uiPriority w:val="0"/>
    <w:pPr>
      <w:jc w:val="right"/>
    </w:pPr>
    <w:rPr>
      <w:b/>
      <w:lang w:eastAsia="en-US"/>
    </w:rPr>
  </w:style>
  <w:style w:type="character" w:customStyle="1" w:styleId="318">
    <w:name w:val="Приложение 1_N Знак"/>
    <w:link w:val="317"/>
    <w:uiPriority w:val="0"/>
    <w:rPr>
      <w:b/>
      <w:sz w:val="24"/>
      <w:szCs w:val="24"/>
      <w:lang w:val="ru-RU" w:eastAsia="en-US" w:bidi="ar-SA"/>
    </w:rPr>
  </w:style>
  <w:style w:type="paragraph" w:customStyle="1" w:styleId="319">
    <w:name w:val="Приложение 1_N заг"/>
    <w:basedOn w:val="2"/>
    <w:link w:val="320"/>
    <w:qFormat/>
    <w:uiPriority w:val="0"/>
    <w:pPr>
      <w:tabs>
        <w:tab w:val="left" w:pos="0"/>
        <w:tab w:val="clear" w:pos="432"/>
      </w:tabs>
      <w:jc w:val="center"/>
    </w:pPr>
    <w:rPr>
      <w:b/>
      <w:bCs/>
      <w:i w:val="0"/>
      <w:color w:val="auto"/>
      <w:sz w:val="24"/>
      <w:szCs w:val="24"/>
      <w:lang w:eastAsia="en-US"/>
    </w:rPr>
  </w:style>
  <w:style w:type="character" w:customStyle="1" w:styleId="320">
    <w:name w:val="Приложение 1_N заг Знак"/>
    <w:link w:val="319"/>
    <w:uiPriority w:val="0"/>
    <w:rPr>
      <w:b/>
      <w:bCs/>
      <w:sz w:val="24"/>
      <w:szCs w:val="24"/>
      <w:lang w:val="ru-RU" w:eastAsia="en-US" w:bidi="ar-SA"/>
    </w:rPr>
  </w:style>
  <w:style w:type="paragraph" w:customStyle="1" w:styleId="321">
    <w:name w:val="Приложение 2_N альбом"/>
    <w:basedOn w:val="309"/>
    <w:link w:val="322"/>
    <w:qFormat/>
    <w:uiPriority w:val="0"/>
    <w:pPr>
      <w:ind w:left="11624"/>
    </w:pPr>
  </w:style>
  <w:style w:type="character" w:customStyle="1" w:styleId="322">
    <w:name w:val="Приложение 2_N альбом Знак"/>
    <w:basedOn w:val="310"/>
    <w:link w:val="321"/>
    <w:uiPriority w:val="0"/>
    <w:rPr>
      <w:sz w:val="24"/>
      <w:szCs w:val="24"/>
      <w:lang w:val="ru-RU" w:eastAsia="en-US" w:bidi="ar-SA"/>
    </w:rPr>
  </w:style>
  <w:style w:type="paragraph" w:customStyle="1" w:styleId="323">
    <w:name w:val="Приложение 2_N заг"/>
    <w:basedOn w:val="2"/>
    <w:link w:val="324"/>
    <w:qFormat/>
    <w:uiPriority w:val="0"/>
    <w:pPr>
      <w:tabs>
        <w:tab w:val="left" w:pos="10206"/>
        <w:tab w:val="clear" w:pos="432"/>
      </w:tabs>
      <w:jc w:val="center"/>
      <w:outlineLvl w:val="9"/>
    </w:pPr>
    <w:rPr>
      <w:b/>
      <w:bCs/>
      <w:i w:val="0"/>
      <w:color w:val="auto"/>
      <w:sz w:val="24"/>
      <w:szCs w:val="24"/>
      <w:lang w:eastAsia="en-US"/>
    </w:rPr>
  </w:style>
  <w:style w:type="character" w:customStyle="1" w:styleId="324">
    <w:name w:val="Приложение 2_N заг Знак"/>
    <w:link w:val="323"/>
    <w:uiPriority w:val="0"/>
    <w:rPr>
      <w:b/>
      <w:bCs/>
      <w:sz w:val="24"/>
      <w:szCs w:val="24"/>
      <w:lang w:val="ru-RU" w:eastAsia="en-US" w:bidi="ar-SA"/>
    </w:rPr>
  </w:style>
  <w:style w:type="paragraph" w:customStyle="1" w:styleId="325">
    <w:name w:val="Приложение 2_N"/>
    <w:basedOn w:val="305"/>
    <w:link w:val="326"/>
    <w:qFormat/>
    <w:uiPriority w:val="0"/>
    <w:pPr>
      <w:ind w:left="5103"/>
    </w:pPr>
  </w:style>
  <w:style w:type="character" w:customStyle="1" w:styleId="326">
    <w:name w:val="Приложение 2_N Знак"/>
    <w:basedOn w:val="306"/>
    <w:link w:val="325"/>
    <w:uiPriority w:val="0"/>
    <w:rPr>
      <w:sz w:val="24"/>
      <w:szCs w:val="24"/>
      <w:lang w:val="ru-RU" w:eastAsia="en-US" w:bidi="ar-SA"/>
    </w:rPr>
  </w:style>
  <w:style w:type="paragraph" w:customStyle="1" w:styleId="327">
    <w:name w:val="Приложение 4_N"/>
    <w:basedOn w:val="232"/>
    <w:link w:val="328"/>
    <w:qFormat/>
    <w:uiPriority w:val="0"/>
  </w:style>
  <w:style w:type="character" w:customStyle="1" w:styleId="328">
    <w:name w:val="Приложение 4_N Знак"/>
    <w:basedOn w:val="233"/>
    <w:link w:val="327"/>
    <w:uiPriority w:val="0"/>
    <w:rPr>
      <w:sz w:val="24"/>
      <w:szCs w:val="24"/>
      <w:lang w:val="ru-RU" w:eastAsia="en-US" w:bidi="ar-SA"/>
    </w:rPr>
  </w:style>
  <w:style w:type="paragraph" w:customStyle="1" w:styleId="329">
    <w:name w:val="Приложение 4_N  заг"/>
    <w:basedOn w:val="234"/>
    <w:link w:val="330"/>
    <w:qFormat/>
    <w:uiPriority w:val="0"/>
  </w:style>
  <w:style w:type="character" w:customStyle="1" w:styleId="330">
    <w:name w:val="Приложение 4_N  заг Знак"/>
    <w:basedOn w:val="235"/>
    <w:link w:val="329"/>
    <w:uiPriority w:val="0"/>
    <w:rPr>
      <w:sz w:val="24"/>
      <w:szCs w:val="24"/>
      <w:lang w:val="ru-RU" w:eastAsia="en-US" w:bidi="ar-SA"/>
    </w:rPr>
  </w:style>
  <w:style w:type="paragraph" w:customStyle="1" w:styleId="331">
    <w:name w:val="Приложение 5_N"/>
    <w:basedOn w:val="327"/>
    <w:link w:val="332"/>
    <w:qFormat/>
    <w:uiPriority w:val="0"/>
  </w:style>
  <w:style w:type="character" w:customStyle="1" w:styleId="332">
    <w:name w:val="Приложение 5_N Знак"/>
    <w:basedOn w:val="328"/>
    <w:link w:val="331"/>
    <w:uiPriority w:val="0"/>
    <w:rPr>
      <w:sz w:val="24"/>
      <w:szCs w:val="24"/>
      <w:lang w:val="ru-RU" w:eastAsia="en-US" w:bidi="ar-SA"/>
    </w:rPr>
  </w:style>
  <w:style w:type="paragraph" w:customStyle="1" w:styleId="333">
    <w:name w:val="Приложение 5_N заг"/>
    <w:basedOn w:val="329"/>
    <w:link w:val="334"/>
    <w:qFormat/>
    <w:uiPriority w:val="0"/>
  </w:style>
  <w:style w:type="character" w:customStyle="1" w:styleId="334">
    <w:name w:val="Приложение 5_N заг Знак"/>
    <w:basedOn w:val="330"/>
    <w:link w:val="333"/>
    <w:uiPriority w:val="0"/>
    <w:rPr>
      <w:sz w:val="24"/>
      <w:szCs w:val="24"/>
      <w:lang w:val="ru-RU" w:eastAsia="en-US" w:bidi="ar-SA"/>
    </w:rPr>
  </w:style>
  <w:style w:type="paragraph" w:customStyle="1" w:styleId="335">
    <w:name w:val="Приложение 6_N"/>
    <w:basedOn w:val="331"/>
    <w:link w:val="336"/>
    <w:qFormat/>
    <w:uiPriority w:val="0"/>
  </w:style>
  <w:style w:type="character" w:customStyle="1" w:styleId="336">
    <w:name w:val="Приложение 6_N Знак"/>
    <w:basedOn w:val="332"/>
    <w:link w:val="335"/>
    <w:uiPriority w:val="0"/>
    <w:rPr>
      <w:sz w:val="24"/>
      <w:szCs w:val="24"/>
      <w:lang w:val="ru-RU" w:eastAsia="en-US" w:bidi="ar-SA"/>
    </w:rPr>
  </w:style>
  <w:style w:type="paragraph" w:customStyle="1" w:styleId="337">
    <w:name w:val="Приложение 6_N заг"/>
    <w:basedOn w:val="333"/>
    <w:link w:val="338"/>
    <w:qFormat/>
    <w:uiPriority w:val="0"/>
  </w:style>
  <w:style w:type="character" w:customStyle="1" w:styleId="338">
    <w:name w:val="Приложение 6_N заг Знак"/>
    <w:basedOn w:val="334"/>
    <w:link w:val="337"/>
    <w:uiPriority w:val="0"/>
    <w:rPr>
      <w:sz w:val="24"/>
      <w:szCs w:val="24"/>
      <w:lang w:val="ru-RU" w:eastAsia="en-US" w:bidi="ar-SA"/>
    </w:rPr>
  </w:style>
  <w:style w:type="paragraph" w:customStyle="1" w:styleId="339">
    <w:name w:val="Приложение 6_N альбом"/>
    <w:basedOn w:val="1"/>
    <w:link w:val="340"/>
    <w:qFormat/>
    <w:uiPriority w:val="0"/>
    <w:pPr>
      <w:ind w:left="11340"/>
      <w:jc w:val="right"/>
    </w:pPr>
    <w:rPr>
      <w:b/>
      <w:lang w:eastAsia="en-US"/>
    </w:rPr>
  </w:style>
  <w:style w:type="character" w:customStyle="1" w:styleId="340">
    <w:name w:val="Приложение 6_N альбом Знак"/>
    <w:link w:val="339"/>
    <w:uiPriority w:val="0"/>
    <w:rPr>
      <w:b/>
      <w:sz w:val="24"/>
      <w:szCs w:val="24"/>
      <w:lang w:val="ru-RU" w:eastAsia="en-US" w:bidi="ar-SA"/>
    </w:rPr>
  </w:style>
  <w:style w:type="paragraph" w:customStyle="1" w:styleId="341">
    <w:name w:val="Приложение 9_N"/>
    <w:basedOn w:val="331"/>
    <w:link w:val="342"/>
    <w:qFormat/>
    <w:uiPriority w:val="0"/>
  </w:style>
  <w:style w:type="character" w:customStyle="1" w:styleId="342">
    <w:name w:val="Приложение 9_N Знак"/>
    <w:basedOn w:val="332"/>
    <w:link w:val="341"/>
    <w:uiPriority w:val="0"/>
    <w:rPr>
      <w:sz w:val="24"/>
      <w:szCs w:val="24"/>
      <w:lang w:val="ru-RU" w:eastAsia="en-US" w:bidi="ar-SA"/>
    </w:rPr>
  </w:style>
  <w:style w:type="paragraph" w:customStyle="1" w:styleId="343">
    <w:name w:val="Приложение 9_N заг"/>
    <w:basedOn w:val="333"/>
    <w:link w:val="344"/>
    <w:qFormat/>
    <w:uiPriority w:val="0"/>
  </w:style>
  <w:style w:type="character" w:customStyle="1" w:styleId="344">
    <w:name w:val="Приложение 9_N заг Знак"/>
    <w:basedOn w:val="334"/>
    <w:link w:val="343"/>
    <w:uiPriority w:val="0"/>
    <w:rPr>
      <w:sz w:val="24"/>
      <w:szCs w:val="24"/>
      <w:lang w:val="ru-RU" w:eastAsia="en-US" w:bidi="ar-SA"/>
    </w:rPr>
  </w:style>
  <w:style w:type="paragraph" w:customStyle="1" w:styleId="345">
    <w:name w:val="Приложение 9_N альбом"/>
    <w:basedOn w:val="339"/>
    <w:link w:val="346"/>
    <w:qFormat/>
    <w:uiPriority w:val="0"/>
  </w:style>
  <w:style w:type="character" w:customStyle="1" w:styleId="346">
    <w:name w:val="Приложение 9_N альбом Знак"/>
    <w:basedOn w:val="340"/>
    <w:link w:val="345"/>
    <w:uiPriority w:val="0"/>
    <w:rPr>
      <w:sz w:val="24"/>
      <w:szCs w:val="24"/>
      <w:lang w:val="ru-RU" w:eastAsia="en-US" w:bidi="ar-SA"/>
    </w:rPr>
  </w:style>
  <w:style w:type="paragraph" w:customStyle="1" w:styleId="347">
    <w:name w:val="Приложение 10_N"/>
    <w:basedOn w:val="341"/>
    <w:link w:val="348"/>
    <w:qFormat/>
    <w:uiPriority w:val="0"/>
  </w:style>
  <w:style w:type="character" w:customStyle="1" w:styleId="348">
    <w:name w:val="Приложение 10_N Знак"/>
    <w:basedOn w:val="342"/>
    <w:link w:val="347"/>
    <w:uiPriority w:val="0"/>
    <w:rPr>
      <w:sz w:val="24"/>
      <w:szCs w:val="24"/>
      <w:lang w:val="ru-RU" w:eastAsia="en-US" w:bidi="ar-SA"/>
    </w:rPr>
  </w:style>
  <w:style w:type="paragraph" w:customStyle="1" w:styleId="349">
    <w:name w:val="Приложение 10_N заг"/>
    <w:basedOn w:val="343"/>
    <w:link w:val="350"/>
    <w:qFormat/>
    <w:uiPriority w:val="0"/>
  </w:style>
  <w:style w:type="character" w:customStyle="1" w:styleId="350">
    <w:name w:val="Приложение 10_N заг Знак"/>
    <w:basedOn w:val="344"/>
    <w:link w:val="349"/>
    <w:uiPriority w:val="0"/>
    <w:rPr>
      <w:sz w:val="24"/>
      <w:szCs w:val="24"/>
      <w:lang w:val="ru-RU" w:eastAsia="en-US" w:bidi="ar-SA"/>
    </w:rPr>
  </w:style>
  <w:style w:type="paragraph" w:customStyle="1" w:styleId="351">
    <w:name w:val="Приложение 10_N альбом"/>
    <w:basedOn w:val="345"/>
    <w:link w:val="352"/>
    <w:qFormat/>
    <w:uiPriority w:val="0"/>
  </w:style>
  <w:style w:type="character" w:customStyle="1" w:styleId="352">
    <w:name w:val="Приложение 10_N альбом Знак"/>
    <w:basedOn w:val="346"/>
    <w:link w:val="351"/>
    <w:uiPriority w:val="0"/>
    <w:rPr>
      <w:sz w:val="24"/>
      <w:szCs w:val="24"/>
      <w:lang w:val="ru-RU" w:eastAsia="en-US" w:bidi="ar-SA"/>
    </w:rPr>
  </w:style>
  <w:style w:type="paragraph" w:customStyle="1" w:styleId="353">
    <w:name w:val="Приложение 11_N альбом"/>
    <w:basedOn w:val="351"/>
    <w:link w:val="354"/>
    <w:qFormat/>
    <w:uiPriority w:val="0"/>
  </w:style>
  <w:style w:type="character" w:customStyle="1" w:styleId="354">
    <w:name w:val="Приложение 11_N альбом Знак"/>
    <w:basedOn w:val="352"/>
    <w:link w:val="353"/>
    <w:uiPriority w:val="0"/>
    <w:rPr>
      <w:sz w:val="24"/>
      <w:szCs w:val="24"/>
      <w:lang w:val="ru-RU" w:eastAsia="en-US" w:bidi="ar-SA"/>
    </w:rPr>
  </w:style>
  <w:style w:type="paragraph" w:customStyle="1" w:styleId="355">
    <w:name w:val="Приложение 11_N заг"/>
    <w:basedOn w:val="349"/>
    <w:link w:val="356"/>
    <w:qFormat/>
    <w:uiPriority w:val="0"/>
  </w:style>
  <w:style w:type="character" w:customStyle="1" w:styleId="356">
    <w:name w:val="Приложение 11_N заг Знак"/>
    <w:basedOn w:val="350"/>
    <w:link w:val="355"/>
    <w:uiPriority w:val="0"/>
    <w:rPr>
      <w:sz w:val="24"/>
      <w:szCs w:val="24"/>
      <w:lang w:val="ru-RU" w:eastAsia="en-US" w:bidi="ar-SA"/>
    </w:rPr>
  </w:style>
  <w:style w:type="paragraph" w:customStyle="1" w:styleId="357">
    <w:name w:val="Приложение 11_N"/>
    <w:basedOn w:val="347"/>
    <w:link w:val="358"/>
    <w:qFormat/>
    <w:uiPriority w:val="0"/>
  </w:style>
  <w:style w:type="character" w:customStyle="1" w:styleId="358">
    <w:name w:val="Приложение 11_N Знак"/>
    <w:basedOn w:val="348"/>
    <w:link w:val="357"/>
    <w:uiPriority w:val="0"/>
    <w:rPr>
      <w:sz w:val="24"/>
      <w:szCs w:val="24"/>
      <w:lang w:val="ru-RU" w:eastAsia="en-US" w:bidi="ar-SA"/>
    </w:rPr>
  </w:style>
  <w:style w:type="paragraph" w:customStyle="1" w:styleId="359">
    <w:name w:val="THKRecipaddress"/>
    <w:uiPriority w:val="0"/>
    <w:pPr>
      <w:spacing w:after="280" w:line="280" w:lineRule="exact"/>
    </w:pPr>
    <w:rPr>
      <w:rFonts w:ascii="Arial" w:hAnsi="Arial" w:eastAsiaTheme="minorEastAsia" w:cstheme="minorBidi"/>
      <w:color w:val="000000"/>
      <w:sz w:val="24"/>
      <w:szCs w:val="24"/>
      <w:lang w:val="ru-RU" w:eastAsia="ru-RU" w:bidi="ar-SA"/>
    </w:rPr>
  </w:style>
  <w:style w:type="paragraph" w:customStyle="1" w:styleId="360">
    <w:name w:val="Перечисление"/>
    <w:basedOn w:val="1"/>
    <w:next w:val="1"/>
    <w:link w:val="361"/>
    <w:uiPriority w:val="0"/>
    <w:pPr>
      <w:numPr>
        <w:ilvl w:val="0"/>
        <w:numId w:val="5"/>
      </w:numPr>
      <w:spacing w:line="360" w:lineRule="auto"/>
      <w:jc w:val="both"/>
    </w:pPr>
  </w:style>
  <w:style w:type="character" w:customStyle="1" w:styleId="361">
    <w:name w:val="Перечисление Знак"/>
    <w:link w:val="360"/>
    <w:uiPriority w:val="0"/>
    <w:rPr>
      <w:color w:val="000000"/>
      <w:sz w:val="24"/>
      <w:szCs w:val="24"/>
    </w:rPr>
  </w:style>
  <w:style w:type="paragraph" w:customStyle="1" w:styleId="362">
    <w:name w:val="ОСНОВНОЙ ТЕКСТ"/>
    <w:basedOn w:val="1"/>
    <w:link w:val="363"/>
    <w:uiPriority w:val="0"/>
    <w:pPr>
      <w:spacing w:line="360" w:lineRule="auto"/>
      <w:ind w:firstLine="856"/>
      <w:jc w:val="both"/>
    </w:pPr>
    <w:rPr>
      <w:szCs w:val="20"/>
    </w:rPr>
  </w:style>
  <w:style w:type="character" w:customStyle="1" w:styleId="363">
    <w:name w:val="ОСНОВНОЙ ТЕКСТ Знак"/>
    <w:link w:val="362"/>
    <w:uiPriority w:val="0"/>
    <w:rPr>
      <w:sz w:val="24"/>
      <w:lang w:val="ru-RU" w:eastAsia="ru-RU" w:bidi="ar-SA"/>
    </w:rPr>
  </w:style>
  <w:style w:type="character" w:customStyle="1" w:styleId="364">
    <w:name w:val="перечень Знак Знак2"/>
    <w:uiPriority w:val="0"/>
    <w:rPr>
      <w:sz w:val="24"/>
      <w:szCs w:val="24"/>
      <w:lang w:val="ru-RU" w:eastAsia="ru-RU" w:bidi="ar-SA"/>
    </w:rPr>
  </w:style>
  <w:style w:type="character" w:customStyle="1" w:styleId="365">
    <w:name w:val="т№ Знак"/>
    <w:uiPriority w:val="0"/>
    <w:rPr>
      <w:b/>
      <w:sz w:val="24"/>
      <w:szCs w:val="24"/>
      <w:lang w:val="ru-RU" w:eastAsia="ru-RU" w:bidi="ar-SA"/>
    </w:rPr>
  </w:style>
  <w:style w:type="paragraph" w:customStyle="1" w:styleId="366">
    <w:name w:val="перечень"/>
    <w:basedOn w:val="1"/>
    <w:link w:val="367"/>
    <w:uiPriority w:val="0"/>
    <w:pPr>
      <w:spacing w:after="120"/>
      <w:jc w:val="both"/>
    </w:pPr>
  </w:style>
  <w:style w:type="character" w:customStyle="1" w:styleId="367">
    <w:name w:val="перечень Знак"/>
    <w:link w:val="366"/>
    <w:uiPriority w:val="0"/>
    <w:rPr>
      <w:color w:val="000000"/>
      <w:sz w:val="24"/>
      <w:szCs w:val="24"/>
    </w:rPr>
  </w:style>
  <w:style w:type="paragraph" w:customStyle="1" w:styleId="368">
    <w:name w:val="таблица"/>
    <w:basedOn w:val="1"/>
    <w:uiPriority w:val="0"/>
    <w:pPr>
      <w:numPr>
        <w:ilvl w:val="0"/>
        <w:numId w:val="6"/>
      </w:numPr>
      <w:tabs>
        <w:tab w:val="clear" w:pos="1077"/>
      </w:tabs>
      <w:ind w:left="0" w:firstLine="0"/>
      <w:jc w:val="center"/>
    </w:pPr>
  </w:style>
  <w:style w:type="paragraph" w:customStyle="1" w:styleId="369">
    <w:name w:val="перечень-цифра"/>
    <w:basedOn w:val="366"/>
    <w:uiPriority w:val="0"/>
    <w:pPr>
      <w:numPr>
        <w:ilvl w:val="0"/>
        <w:numId w:val="7"/>
      </w:numPr>
    </w:pPr>
  </w:style>
  <w:style w:type="paragraph" w:customStyle="1" w:styleId="370">
    <w:name w:val="перечень-буква"/>
    <w:basedOn w:val="366"/>
    <w:uiPriority w:val="0"/>
    <w:pPr>
      <w:numPr>
        <w:ilvl w:val="0"/>
        <w:numId w:val="8"/>
      </w:numPr>
    </w:pPr>
  </w:style>
  <w:style w:type="paragraph" w:customStyle="1" w:styleId="371">
    <w:name w:val="Обычный2"/>
    <w:uiPriority w:val="0"/>
    <w:pPr>
      <w:widowControl w:val="0"/>
    </w:pPr>
    <w:rPr>
      <w:rFonts w:asciiTheme="minorHAnsi" w:hAnsiTheme="minorHAnsi" w:eastAsiaTheme="minorEastAsia" w:cstheme="minorBidi"/>
      <w:color w:val="000000"/>
      <w:sz w:val="24"/>
      <w:szCs w:val="24"/>
      <w:lang w:val="ru-RU" w:eastAsia="ru-RU" w:bidi="ar-SA"/>
    </w:rPr>
  </w:style>
  <w:style w:type="character" w:customStyle="1" w:styleId="372">
    <w:name w:val="Текст Знак"/>
    <w:link w:val="14"/>
    <w:uiPriority w:val="99"/>
    <w:rPr>
      <w:rFonts w:ascii="Calibri" w:hAnsi="Calibri" w:eastAsia="Calibri"/>
      <w:sz w:val="22"/>
      <w:szCs w:val="21"/>
      <w:lang w:eastAsia="en-US"/>
    </w:rPr>
  </w:style>
  <w:style w:type="paragraph" w:customStyle="1" w:styleId="373">
    <w:name w:val="1."/>
    <w:basedOn w:val="1"/>
    <w:uiPriority w:val="0"/>
    <w:pPr>
      <w:spacing w:line="240" w:lineRule="atLeast"/>
      <w:ind w:left="720" w:hanging="720"/>
      <w:jc w:val="both"/>
    </w:pPr>
    <w:rPr>
      <w:rFonts w:ascii="Helv" w:hAnsi="Helv" w:eastAsia="Calibri"/>
      <w:color w:val="auto"/>
      <w:sz w:val="20"/>
      <w:szCs w:val="20"/>
      <w:lang w:val="en-GB" w:eastAsia="en-US"/>
    </w:rPr>
  </w:style>
  <w:style w:type="paragraph" w:customStyle="1" w:styleId="374">
    <w:name w:val="TOC Heading"/>
    <w:basedOn w:val="2"/>
    <w:next w:val="1"/>
    <w:unhideWhenUsed/>
    <w:qFormat/>
    <w:uiPriority w:val="39"/>
    <w:pPr>
      <w:keepLines/>
      <w:tabs>
        <w:tab w:val="clear" w:pos="432"/>
      </w:tabs>
      <w:spacing w:line="259" w:lineRule="auto"/>
      <w:outlineLvl w:val="9"/>
    </w:pPr>
    <w:rPr>
      <w:rFonts w:asciiTheme="majorHAnsi" w:hAnsiTheme="majorHAnsi" w:eastAsiaTheme="majorEastAsia" w:cstheme="majorBidi"/>
      <w:i w:val="0"/>
      <w:color w:val="376092" w:themeColor="accent1" w:themeShade="BF"/>
      <w:sz w:val="32"/>
      <w:szCs w:val="32"/>
    </w:rPr>
  </w:style>
  <w:style w:type="character" w:customStyle="1" w:styleId="375">
    <w:name w:val="Подзаголовок Знак"/>
    <w:basedOn w:val="44"/>
    <w:link w:val="42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GTNG</Company>
  <TotalTime>2</TotalTime>
  <ScaleCrop>false</ScaleCrop>
  <LinksUpToDate>false</LinksUpToDate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2022-01-10T10:40:00Z</dcterms:created>
  <dc:creator>Моисеев А.В.</dc:creator>
  <cp:lastModifiedBy>user437</cp:lastModifiedBy>
  <cp:lastPrinted>2022-08-29T12:15:00Z</cp:lastPrinted>
  <dcterms:modified xsi:type="dcterms:W3CDTF">2022-09-28T05:29:15Z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DocumentTheme">
    <vt:lpwstr>Установка подготовки нефти. Компрессорная станция ПНГ</vt:lpwstr>
  </property>
  <property fmtid="{D5CDD505-2E9C-101B-9397-08002B2CF9AE}" pid="3" name="ProjectDocumentStatus">
    <vt:lpwstr>Согласование в НИПИ</vt:lpwstr>
  </property>
  <property fmtid="{D5CDD505-2E9C-101B-9397-08002B2CF9AE}" pid="4" name="Title">
    <vt:lpwstr>3015 Установка подготовки нефти УПН. Компресорная станция попутного нефтяного газа КСН.doc</vt:lpwstr>
  </property>
  <property fmtid="{D5CDD505-2E9C-101B-9397-08002B2CF9AE}" pid="5" name="03e45e84-1992-4d42-9116-26f756012634">
    <vt:lpwstr>0x01010003982AC520C64A159CB62D6A8F89ACEB001DC01F4A0EC33240B749F9CB1F8BE55C</vt:lpwstr>
  </property>
  <property fmtid="{D5CDD505-2E9C-101B-9397-08002B2CF9AE}" pid="6" name="DA_Field_StartRound">
    <vt:lpwstr>1</vt:lpwstr>
  </property>
  <property fmtid="{D5CDD505-2E9C-101B-9397-08002B2CF9AE}" pid="7" name="FileLeafRef">
    <vt:lpwstr>5ae86cb7-9c2a-4665-99b5-b9b40b81688d.doc</vt:lpwstr>
  </property>
  <property fmtid="{D5CDD505-2E9C-101B-9397-08002B2CF9AE}" pid="8" name="DA_Field_EndRound">
    <vt:lpwstr>0</vt:lpwstr>
  </property>
  <property fmtid="{D5CDD505-2E9C-101B-9397-08002B2CF9AE}" pid="9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10" name="DA_Field_DocApproval">
    <vt:lpwstr>129;#</vt:lpwstr>
  </property>
  <property fmtid="{D5CDD505-2E9C-101B-9397-08002B2CF9AE}" pid="11" name="DA_Field_Task">
    <vt:lpwstr>2027;#</vt:lpwstr>
  </property>
  <property fmtid="{D5CDD505-2E9C-101B-9397-08002B2CF9AE}" pid="12" name="KSOProductBuildVer">
    <vt:lpwstr>1049-10.2.0.7646</vt:lpwstr>
  </property>
</Properties>
</file>